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L1原型级 · 自动生成未经人工复核 · 不构成投资建议 · 数据截至 2026-08-28 · 内部研究勿外传</w:t>
      </w:r>
    </w:p>
    <w:bookmarkStart w:id="32" w:name="东富龙300171.sz公开信息结构化分析报告-v1.0"/>
    <w:p>
      <w:pPr>
        <w:pStyle w:val="Heading1"/>
      </w:pPr>
      <w:r>
        <w:t xml:space="preserve">东富龙（300171.SZ）公开信息结构化分析报告 v1.0</w:t>
      </w:r>
    </w:p>
    <w:p>
      <w:pPr>
        <w:pStyle w:val="BlockText"/>
      </w:pPr>
      <w:r>
        <w:t xml:space="preserve">元信息：模式=完整模式（外骨骼迭代收敛流程首次实战）｜毕业等级=L1 原型（未经用户拍板）｜版本=v1.0（迭代 R4 产物）｜分析日期=2026-08-28</w:t>
      </w:r>
      <w:r>
        <w:t xml:space="preserve"> </w:t>
      </w:r>
      <w:r>
        <w:t xml:space="preserve">未验证项清单：①Gildata/xhcj 舆情路由本轮未执行（列入 P1）；②2026H1 中报全文分地区毛利附注以外明细（海外客户结构）未展开；③iFinD 对中报的收录校验待下次数据轮</w:t>
      </w:r>
      <w:r>
        <w:t xml:space="preserve"> </w:t>
      </w:r>
      <w:r>
        <w:t xml:space="preserve">合规声明：本报告为公开信息的结构化整理，所有数值来自法定披露文件或官方数据插件（C1 通道及以上），不构成任何投资建议、要约或收益承诺；不含目标价与评级；历史数据不代表未来表现；仅供流程所有者个人研究使用，禁止对外分发。</w:t>
      </w:r>
    </w:p>
    <w:p>
      <w:r>
        <w:pict>
          <v:rect style="width:0;height:1.5pt" o:hralign="center" o:hrstd="t" o:hr="t"/>
        </w:pict>
      </w:r>
    </w:p>
    <w:bookmarkStart w:id="20" w:name="一迭代机制执行摘要本次实战的流程产物"/>
    <w:p>
      <w:pPr>
        <w:pStyle w:val="Heading2"/>
      </w:pPr>
      <w:r>
        <w:t xml:space="preserve">一、迭代机制执行摘要（本次实战的流程产物）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外骨骼元提问：提示词缺陷解剖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缺陷表 v1（D1-D5）+ 宪章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 1 条 High 缺陷（</w:t>
            </w:r>
            <w:r>
              <w:t xml:space="preserve">“</w:t>
            </w:r>
            <w:r>
              <w:t xml:space="preserve">信息霸权</w:t>
            </w:r>
            <w:r>
              <w:t xml:space="preserve">”</w:t>
            </w:r>
            <w:r>
              <w:t xml:space="preserve">合规风险）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三角色并行审查（多头/空头/风控合规官子代理）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条缺陷（7 条 High）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宪章 v0.1 不放行，重整出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外骨骼扰动复核（4 组反例攻击）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缺陷表 v3（P-2/P-3/P-4 残留 Med）+ 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有条件首肯</w:t>
            </w:r>
            <w:r>
              <w:t xml:space="preserve">：无新增 High，放行数据轮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实战数据轮（iFinD×8 次调用 + Wind×3 + 中报原文 PDF×2 + 证据链脚本校验）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 + 15 条证据链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§九 收敛判定</w:t>
            </w:r>
          </w:p>
        </w:tc>
      </w:tr>
    </w:tbl>
    <w:p>
      <w:pPr>
        <w:pStyle w:val="BodyText"/>
      </w:pPr>
      <w:r>
        <w:t xml:space="preserve">提示词缺陷贯穿修订（用户原始指令 → 可执行机制）：</w:t>
      </w:r>
      <w:r>
        <w:t xml:space="preserve"> </w:t>
      </w:r>
      <w:r>
        <w:t xml:space="preserve">- D1</w:t>
      </w:r>
      <w:r>
        <w:t xml:space="preserve"> </w:t>
      </w:r>
      <w:r>
        <w:t xml:space="preserve">“</w:t>
      </w:r>
      <w:r>
        <w:t xml:space="preserve">扫描未来 skill</w:t>
      </w:r>
      <w:r>
        <w:t xml:space="preserve">”</w:t>
      </w:r>
      <w:r>
        <w:t xml:space="preserve">不可字面执行 → 每轮迭代前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技能库巡检制（本轮已执行：user 39 个 / builtin 全量，金融相关子集已纳入路由）</w:t>
      </w:r>
      <w:r>
        <w:t xml:space="preserve"> </w:t>
      </w:r>
      <w:r>
        <w:t xml:space="preserve">- D2</w:t>
      </w:r>
      <w:r>
        <w:t xml:space="preserve"> </w:t>
      </w:r>
      <w:r>
        <w:t xml:space="preserve">“</w:t>
      </w:r>
      <w:r>
        <w:t xml:space="preserve">信息霸权</w:t>
      </w:r>
      <w:r>
        <w:t xml:space="preserve">”</w:t>
      </w:r>
      <w:r>
        <w:t xml:space="preserve"> </w:t>
      </w:r>
      <w:r>
        <w:t xml:space="preserve">→ 中性化为”公开信息结构化处理流程”（合规红线，禁止回退）</w:t>
      </w:r>
      <w:r>
        <w:t xml:space="preserve"> </w:t>
      </w:r>
      <w:r>
        <w:t xml:space="preserve">- D3</w:t>
      </w:r>
      <w:r>
        <w:t xml:space="preserve"> </w:t>
      </w:r>
      <w:r>
        <w:t xml:space="preserve">“</w:t>
      </w:r>
      <w:r>
        <w:t xml:space="preserve">尽量多 Swarm</w:t>
      </w:r>
      <w:r>
        <w:t xml:space="preserve">”</w:t>
      </w:r>
      <w:r>
        <w:t xml:space="preserve">与”最小作用量”矛盾 → 按命题风险分级路由 Swarm 规模</w:t>
      </w:r>
      <w:r>
        <w:t xml:space="preserve"> </w:t>
      </w:r>
      <w:r>
        <w:t xml:space="preserve">- D4 cron 无人值守 → 自动化三角色 + 产物 L1 标注 + 首行免责锚硬编码</w:t>
      </w:r>
      <w:r>
        <w:t xml:space="preserve"> </w:t>
      </w:r>
      <w:r>
        <w:t xml:space="preserve">- D5 未指定决策用途 → 默认”研究观察”，显式标注假设</w:t>
      </w:r>
      <w:r>
        <w:t xml:space="preserve"> </w:t>
      </w:r>
      <w:r>
        <w:t xml:space="preserve">- D6 cron 新会话无法继承本会话上下文 → cron 任务描述自包含并指向宪章落盘路径</w:t>
      </w:r>
    </w:p>
    <w:bookmarkEnd w:id="20"/>
    <w:bookmarkStart w:id="21" w:name="二标的身份与最新披露状态验证-r3-扰动项-p-2p-3"/>
    <w:p>
      <w:pPr>
        <w:pStyle w:val="Heading2"/>
      </w:pPr>
      <w:r>
        <w:t xml:space="preserve">二、标的身份与最新披露状态（验证 R3 扰动项 P-2/P-3）</w:t>
      </w:r>
    </w:p>
    <w:p>
      <w:pPr>
        <w:numPr>
          <w:ilvl w:val="0"/>
          <w:numId w:val="1001"/>
        </w:numPr>
        <w:pStyle w:val="Compact"/>
      </w:pPr>
      <w:r>
        <w:t xml:space="preserve">300171.SZ = 东富龙科技集团股份有限公司，创业板，实控人郑效东（持股 34.08%），总股本 765,828,040 股（conf=High，iFinD 公司概况 + 中报摘要一致）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2026 年半年度报告已于 2026-08-27 晚间披露</w:t>
      </w:r>
      <w:r>
        <w:t xml:space="preserve">（本次分析时点恰逢披露次日，数据新鲜度为窗口内最优）（conf=High，公告列表）</w:t>
      </w:r>
    </w:p>
    <w:p>
      <w:pPr>
        <w:numPr>
          <w:ilvl w:val="0"/>
          <w:numId w:val="1001"/>
        </w:numPr>
        <w:pStyle w:val="Compact"/>
      </w:pPr>
      <w:r>
        <w:t xml:space="preserve">中报同步披露：半年度利润分配预案（10 派 0.66 元）、计提资产减值及资产核销公告、会计政策变更公告、增加外汇套期保值额度公告、</w:t>
      </w:r>
      <w:r>
        <w:t xml:space="preserve">“</w:t>
      </w:r>
      <w:r>
        <w:t xml:space="preserve">质量回报双提升</w:t>
      </w:r>
      <w:r>
        <w:t xml:space="preserve">”</w:t>
      </w:r>
      <w:r>
        <w:t xml:space="preserve">进展公告</w:t>
      </w:r>
    </w:p>
    <w:bookmarkEnd w:id="21"/>
    <w:bookmarkStart w:id="25" w:name="三基本面三维"/>
    <w:p>
      <w:pPr>
        <w:pStyle w:val="Heading2"/>
      </w:pPr>
      <w:r>
        <w:t xml:space="preserve">三、基本面三维</w:t>
      </w:r>
    </w:p>
    <w:bookmarkStart w:id="22" w:name="利润拐点事实层"/>
    <w:p>
      <w:pPr>
        <w:pStyle w:val="Heading3"/>
      </w:pPr>
      <w:r>
        <w:t xml:space="preserve">3.1 利润拐点（事实层）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56.42亿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50.10亿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52.33亿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24.29亿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25.35亿（+4.37%）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1.08亿（+134.49%）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扣非归母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0.94亿（+270.73%）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0.1415</w:t>
            </w:r>
          </w:p>
        </w:tc>
      </w:tr>
    </w:tbl>
    <w:p>
      <w:pPr>
        <w:pStyle w:val="BodyText"/>
      </w:pPr>
      <w:r>
        <w:t xml:space="preserve">2026Q1 归母 0.275 亿 → Q2 单季归母约 0.80 亿，环比加速（conf=High/Medium 分层见证据链）。利润自 2024 年谷底连续修复，且扣非增速（+270.7%）高于归母增速（+134.5%），修复质量有支撑（conf=Medium：单季外推属推断）。</w:t>
      </w:r>
    </w:p>
    <w:bookmarkEnd w:id="22"/>
    <w:bookmarkStart w:id="23" w:name="订单先行指标宪章枢纽节-a3-实测"/>
    <w:p>
      <w:pPr>
        <w:pStyle w:val="Heading3"/>
      </w:pPr>
      <w:r>
        <w:t xml:space="preserve">3.2 订单先行指标（宪章枢纽节 A3 实测）</w:t>
      </w:r>
    </w:p>
    <w:p>
      <w:pPr>
        <w:numPr>
          <w:ilvl w:val="0"/>
          <w:numId w:val="1002"/>
        </w:numPr>
        <w:pStyle w:val="Compact"/>
      </w:pPr>
      <w:r>
        <w:t xml:space="preserve">合并合同负债：期末 37.13 亿，较期初 36.23 亿</w:t>
      </w:r>
      <w:r>
        <w:t xml:space="preserve"> </w:t>
      </w:r>
      <w:r>
        <w:rPr>
          <w:bCs/>
          <w:b/>
        </w:rPr>
        <w:t xml:space="preserve">+2.47%</w:t>
      </w:r>
      <w:r>
        <w:t xml:space="preserve">（conf=High，中报原文；期初值与 iFinD 完全一致，双源核验通过）→ 预注册触发线”连续 2 季环比降 &gt;10%“</w:t>
      </w:r>
      <w:r>
        <w:rPr>
          <w:bCs/>
          <w:b/>
        </w:rPr>
        <w:t xml:space="preserve">未触发</w:t>
      </w:r>
      <w:r>
        <w:t xml:space="preserve">，命题 H1（订单企稳）获弱支撑，conf 维持 Medium（单期数据不足以确认趋势）</w:t>
      </w:r>
    </w:p>
    <w:p>
      <w:pPr>
        <w:numPr>
          <w:ilvl w:val="0"/>
          <w:numId w:val="1002"/>
        </w:numPr>
        <w:pStyle w:val="Compact"/>
      </w:pPr>
      <w:r>
        <w:t xml:space="preserve">存货 33.22 亿（较期初 +3.9%）；应收账款 15.91 亿（较期初 +0.3%，增速低于收入增速 4.37%）→ 空头命题 S2（应收恶化）本期</w:t>
      </w:r>
      <w:r>
        <w:rPr>
          <w:bCs/>
          <w:b/>
        </w:rPr>
        <w:t xml:space="preserve">未获支持</w:t>
      </w:r>
      <w:r>
        <w:t xml:space="preserve">（conf=High 事实 + Medium 推断）</w:t>
      </w:r>
    </w:p>
    <w:bookmarkEnd w:id="23"/>
    <w:bookmarkStart w:id="24" w:name="分部与出海中报全文confhigh-事实层"/>
    <w:p>
      <w:pPr>
        <w:pStyle w:val="Heading3"/>
      </w:pPr>
      <w:r>
        <w:t xml:space="preserve">3.3 分部与出海（中报全文，conf=High 事实层）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制剂装备事业部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生物工艺装备及耗材事业部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+18.22pct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制药工程事业部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-8.93pct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食品工程及装备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售后服务与配件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-3.62pct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国际（分地区）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+29.24%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-6.73pct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国内（分地区）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+6.36pct</w:t>
            </w:r>
          </w:p>
        </w:tc>
      </w:tr>
    </w:tbl>
    <w:p>
      <w:pPr>
        <w:pStyle w:val="BodyText"/>
      </w:pPr>
      <w:r>
        <w:t xml:space="preserve">三角色命题检验：</w:t>
      </w:r>
      <w:r>
        <w:t xml:space="preserve"> </w:t>
      </w:r>
      <w:r>
        <w:t xml:space="preserve">- H2（耗材放量兑现）：</w:t>
      </w:r>
      <w:r>
        <w:rPr>
          <w:bCs/>
          <w:b/>
        </w:rPr>
        <w:t xml:space="preserve">部分证伪</w:t>
      </w:r>
      <w:r>
        <w:t xml:space="preserve">——收入 -1.15% 未放量，但毛利率 +18.22pct 显示产品结构与降本显著改善；</w:t>
      </w:r>
      <w:r>
        <w:t xml:space="preserve">“</w:t>
      </w:r>
      <w:r>
        <w:t xml:space="preserve">放量</w:t>
      </w:r>
      <w:r>
        <w:t xml:space="preserve">”</w:t>
      </w:r>
      <w:r>
        <w:t xml:space="preserve">命题降级为待证（conf=Medium）</w:t>
      </w:r>
      <w:r>
        <w:t xml:space="preserve"> </w:t>
      </w:r>
      <w:r>
        <w:t xml:space="preserve">- H3（出海改善盈利质量）：</w:t>
      </w:r>
      <w:r>
        <w:rPr>
          <w:bCs/>
          <w:b/>
        </w:rPr>
        <w:t xml:space="preserve">量升价降</w:t>
      </w:r>
      <w:r>
        <w:t xml:space="preserve">——收入 +29.2%、占比升至 41%，但国际毛利率 -6.73pct；仍远高于国内（41.3% vs 25.8%），命题部分成立（conf=Medium）</w:t>
      </w:r>
      <w:r>
        <w:t xml:space="preserve"> </w:t>
      </w:r>
      <w:r>
        <w:t xml:space="preserve">- 空头 S7（海外低价订单）：获部分支持（国际毛利率下行 6.73pct），但绝对水平仍高，未达”断裂”（conf=Medium）</w:t>
      </w:r>
    </w:p>
    <w:bookmarkEnd w:id="24"/>
    <w:bookmarkEnd w:id="25"/>
    <w:bookmarkStart w:id="26" w:name="四空头命题专项检验扰动测试结果"/>
    <w:p>
      <w:pPr>
        <w:pStyle w:val="Heading2"/>
      </w:pPr>
      <w:r>
        <w:t xml:space="preserve">四、空头命题专项检验（扰动测试结果）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 利润-现金流背离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确认，置顶关注</w:t>
            </w:r>
            <w:r>
              <w:t xml:space="preserve">：2026H1 经营现金流净额 0.91 亿，同比</w:t>
            </w:r>
            <w:r>
              <w:t xml:space="preserve"> </w:t>
            </w:r>
            <w:r>
              <w:rPr>
                <w:bCs/>
                <w:b/>
              </w:rPr>
              <w:t xml:space="preserve">-67.03%</w:t>
            </w:r>
            <w:r>
              <w:t xml:space="preserve">，与利润 +134% 显著背离（conf=High 事实）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减值吞噬利润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确认，置顶关注</w:t>
            </w:r>
            <w:r>
              <w:t xml:space="preserve">：2026H1 资产减值损失 0.72 亿，</w:t>
            </w:r>
            <w:r>
              <w:rPr>
                <w:bCs/>
                <w:b/>
              </w:rPr>
              <w:t xml:space="preserve">占利润总额 47.81%</w:t>
            </w:r>
            <w:r>
              <w:t xml:space="preserve">（存货跌价+合同履约成本+合同资产减值）；且 2024/2025 年报季均有大额减值（2024FY 资产减值 1.51 亿）——减值是持续性利润侵蚀项而非一次性事件（conf=High）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中报全文非主营分析表 + iFinD 历年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减持/质押背离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证伪</w:t>
            </w:r>
            <w:r>
              <w:t xml:space="preserve">：前十大股东（含实控人 34.08%）均无质押/冻结；2026 年 1-8 月 62 条公告中无减持、无立案、无警示函（conf=High）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中报摘要股东表 + 公告列表扫描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商誉减值悬顶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弱风险：商誉 1.69 亿，仅占总资产 1.2%，敞口有限（conf=High）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中报资产负债表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集采传导（链 D 反向分支）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存疑待证：国内收入 -7.96% 与国内制药 capex 疲软的因果链未经独立数据验证（conf=Low，仅标注）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治理与股东回报正向事实：中期分红预案 10 派 0.66 元（按 H1 归母计派息率约 46.6%，conf=Medium 推断）；回购专户持股 498 万股（0.65%）；股东户数 29,299 户，同比 -8.7%、环比 -2.8%（conf=High）。</w:t>
      </w:r>
    </w:p>
    <w:bookmarkEnd w:id="26"/>
    <w:bookmarkStart w:id="27" w:name="五估值锚confmedium-层口径警示"/>
    <w:p>
      <w:pPr>
        <w:pStyle w:val="Heading2"/>
      </w:pPr>
      <w:r>
        <w:t xml:space="preserve">五、估值锚（conf=Medium 层，口径警示）</w:t>
      </w:r>
    </w:p>
    <w:p>
      <w:pPr>
        <w:numPr>
          <w:ilvl w:val="0"/>
          <w:numId w:val="1003"/>
        </w:numPr>
        <w:pStyle w:val="Compact"/>
      </w:pPr>
      <w:r>
        <w:t xml:space="preserve">2026-08-27 收盘价 14.99 元，总市值约 114.8 亿（conf=High）</w:t>
      </w:r>
    </w:p>
    <w:p>
      <w:pPr>
        <w:numPr>
          <w:ilvl w:val="0"/>
          <w:numId w:val="1003"/>
        </w:numPr>
        <w:pStyle w:val="Compact"/>
      </w:pPr>
      <w:r>
        <w:t xml:space="preserve">Wind 口径 PE_TTM 55.25、PB_LF 1.45、PS_TTM 2.21（conf=Medium；</w:t>
      </w:r>
      <w:r>
        <w:rPr>
          <w:bCs/>
          <w:b/>
        </w:rPr>
        <w:t xml:space="preserve">该 PE 大概率未纳入 8-27 晚中报，存在滞后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以中报更新后归母 TTM ≈ 2.62 亿（2.00 − 0.46 + 1.08）自算 PE ≈</w:t>
      </w:r>
      <w:r>
        <w:t xml:space="preserve"> </w:t>
      </w:r>
      <w:r>
        <w:rPr>
          <w:bCs/>
          <w:b/>
        </w:rPr>
        <w:t xml:space="preserve">43.8 倍</w:t>
      </w:r>
      <w:r>
        <w:t xml:space="preserve">（conf=Medium，推导值）</w:t>
      </w:r>
    </w:p>
    <w:p>
      <w:pPr>
        <w:numPr>
          <w:ilvl w:val="0"/>
          <w:numId w:val="1003"/>
        </w:numPr>
        <w:pStyle w:val="Compact"/>
      </w:pPr>
      <w:r>
        <w:t xml:space="preserve">可比锚：楚天科技（300358.SZ，中报同披露期）PE_TTM 15.92、PB 1.18、市值 65.6 亿、2026H1 净利 1.56 亿（conf=Medium，Wind 单源）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结构化观察（非结论）</w:t>
      </w:r>
      <w:r>
        <w:t xml:space="preserve">：东富龙市值/PE 约为楚天的 1.75 倍/2.7 倍，而 H1 收入规模相当（25.3 vs 26.2 亿）、净利润更低——市场定价中包含对”生物工艺耗材+出海”转型期权的显著溢价。该溢价能否持续，取决于 §三 中 H2/H3 命题的后续数据兑现。此句为 conf=Medium 的推断，非估值结论。</w:t>
      </w:r>
    </w:p>
    <w:bookmarkEnd w:id="27"/>
    <w:bookmarkStart w:id="28" w:name="六证据链登记15-条脚本校验-0-错误"/>
    <w:p>
      <w:pPr>
        <w:pStyle w:val="Heading2"/>
      </w:pPr>
      <w:r>
        <w:t xml:space="preserve">六、证据链登记（15 条，脚本校验 0 错误）</w:t>
      </w:r>
    </w:p>
    <w:p>
      <w:pPr>
        <w:pStyle w:val="FirstParagraph"/>
      </w:pPr>
      <w:r>
        <w:t xml:space="preserve">完整登记见</w:t>
      </w:r>
      <w:r>
        <w:t xml:space="preserve"> </w:t>
      </w:r>
      <w:r>
        <w:rPr>
          <w:rStyle w:val="VerbatimChar"/>
        </w:rPr>
        <w:t xml:space="preserve">data/claims.json</w:t>
      </w:r>
      <w:r>
        <w:t xml:space="preserve">（evidence_register.py 校验：High 12 / Medium 3 / Low 0 / Conflict 0）。所有 High 级断言均出自中报原文或双源一致；Medium 级集中于 Wind 估值口径与跨年财务序列（iFinD 单源）。</w:t>
      </w:r>
    </w:p>
    <w:bookmarkEnd w:id="28"/>
    <w:bookmarkStart w:id="29" w:name="七top3_likely_wrong最可能错的三条断言"/>
    <w:p>
      <w:pPr>
        <w:pStyle w:val="Heading2"/>
      </w:pPr>
      <w:r>
        <w:t xml:space="preserve">七、top3_likely_wrong（最可能错的三条断言）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自算 PE≈43.8 倍</w:t>
      </w:r>
      <w:r>
        <w:rPr>
          <w:bCs/>
          <w:b/>
        </w:rPr>
        <w:t xml:space="preserve">”</w:t>
      </w:r>
      <w:r>
        <w:t xml:space="preserve"> </w:t>
      </w:r>
      <w:r>
        <w:t xml:space="preserve">—— 错因：TTM 分母依赖 2025H1 归母 0.46 亿的 iFinD 单源值，若该值为调整后口径差异则会偏移。推翻方法：巨潮资讯网下载 2025 年半年报原文核对归母净利润。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利润修复质量有支撑（扣非增速高于归母）</w:t>
      </w:r>
      <w:r>
        <w:rPr>
          <w:bCs/>
          <w:b/>
        </w:rPr>
        <w:t xml:space="preserve">”</w:t>
      </w:r>
      <w:r>
        <w:t xml:space="preserve"> </w:t>
      </w:r>
      <w:r>
        <w:t xml:space="preserve">—— 错因：2025H1 扣非基数仅 0.25 亿，低基数下的高增速外推价值弱；且经营现金流 -67% 与之矛盾。推翻方法：待 2026Q3 报告验证扣非绝对额是否站上季度 0.5 亿+平台。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订单企稳（合同负债 +2.47%）</w:t>
      </w:r>
      <w:r>
        <w:rPr>
          <w:bCs/>
          <w:b/>
        </w:rPr>
        <w:t xml:space="preserve">”</w:t>
      </w:r>
      <w:r>
        <w:t xml:space="preserve"> </w:t>
      </w:r>
      <w:r>
        <w:t xml:space="preserve">—— 错因：合同负债含税率与订单结构变化影响，且 2026 年存在”会计政策变更”公告，口径可比性未完全排除。推翻方法：读中报全文”会计政策变更”附注，核对合同负债口径是否受影响。</w:t>
      </w:r>
    </w:p>
    <w:bookmarkEnd w:id="29"/>
    <w:bookmarkStart w:id="30" w:name="八收敛判定iteration-convergence-ops-第④拍"/>
    <w:p>
      <w:pPr>
        <w:pStyle w:val="Heading2"/>
      </w:pPr>
      <w:r>
        <w:t xml:space="preserve">八、收敛判定（iteration-convergence-ops 第④拍）</w:t>
      </w:r>
    </w:p>
    <w:p>
      <w:pPr>
        <w:numPr>
          <w:ilvl w:val="0"/>
          <w:numId w:val="1005"/>
        </w:numPr>
        <w:pStyle w:val="Compact"/>
      </w:pPr>
      <w:r>
        <w:t xml:space="preserve">R3 宪章无新增 High 错点（第 1 轮干净记录）；R4 数据轮暴露并已处置的问题：iFinD 中报未收录（时效差，已用中报原文 PDF 绕开并交叉 Wind）、母公司/合并报表同页混淆（已勘误）、Wind PE_TTM 滞后（已标注 conf≤Medium）——均属数据/方法层且已修复，</w:t>
      </w:r>
      <w:r>
        <w:rPr>
          <w:bCs/>
          <w:b/>
        </w:rPr>
        <w:t xml:space="preserve">不构成 High 级未决错点</w:t>
      </w:r>
      <w:r>
        <w:t xml:space="preserve">（第 2 轮干净记录）</w:t>
      </w:r>
    </w:p>
    <w:p>
      <w:pPr>
        <w:numPr>
          <w:ilvl w:val="0"/>
          <w:numId w:val="1005"/>
        </w:numPr>
        <w:pStyle w:val="Compact"/>
      </w:pPr>
      <w:r>
        <w:t xml:space="preserve">关键断言 100% 证据链登记；扰动测试（空头 S2/S6/S7/S9 专项攻击）已执行，结论在反例攻击下分层成立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判定：有限收敛达成</w:t>
      </w:r>
      <w:r>
        <w:t xml:space="preserve">（语义学意义的有限迭代：命题集合在当前信息集上封闭；新披露事件将打开新迭代——由 cron 承接）</w:t>
      </w:r>
    </w:p>
    <w:p>
      <w:pPr>
        <w:numPr>
          <w:ilvl w:val="0"/>
          <w:numId w:val="1005"/>
        </w:numPr>
        <w:pStyle w:val="Compact"/>
      </w:pPr>
      <w:r>
        <w:t xml:space="preserve">残留局限（诚实登记）：三角色审查由同族模型扮演，回音室风险未根除（P-4）；舆情维度未覆盖</w:t>
      </w:r>
    </w:p>
    <w:bookmarkEnd w:id="30"/>
    <w:bookmarkStart w:id="31" w:name="九排期p0p1p2"/>
    <w:p>
      <w:pPr>
        <w:pStyle w:val="Heading2"/>
      </w:pPr>
      <w:r>
        <w:t xml:space="preserve">九、排期（P0/P1/P2）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每日 04:00 任务上线，首行免责锚硬编码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list_cron_jobs 可见且无增量日输出”跳过”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2 轮接口失败自动暂停告警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舆情/研报维度补齐（Gildata/xhcj 路由）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下一数据轮产出舆情命题线索表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接口失败则显性标注缺口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iFinD 中报收录后双源全字段对账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 &lt;0.5% 销记，&gt;2% 入 top3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以中报原文为终极基准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2026Q3 报告季扰动复测（扣非平台、现金流、合同负债）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预注册触发线复核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触发即降级对应命题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报告季后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本报告由 集群甲外骨骼迭代流程产出：cognitive-exoskeleton（元提问与首肯）× iteration-convergence-ops（四拍循环）× source-semantics-sentinel（信源路由）× evidence-chain-verifier（证据登记）× rumor-chain-verifier（拆链检验）。版本 v1.0，2026-08-28。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2026-08-27T19:12:55Z</dcterms:created>
  <dcterms:modified xsi:type="dcterms:W3CDTF">2026-08-27T19:12:55Z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