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东富龙300171量化交易策略-散户通俗解读"/>
    <w:p>
      <w:pPr>
        <w:pStyle w:val="Heading1"/>
      </w:pPr>
      <w:r>
        <w:t xml:space="preserve">东富龙（300171）量化交易策略 · 散户通俗解读</w:t>
      </w:r>
    </w:p>
    <w:p>
      <w:pPr>
        <w:pStyle w:val="BlockText"/>
      </w:pPr>
      <w:r>
        <w:t xml:space="preserve">这份文档用大白话解释一个为创业板股票</w:t>
      </w:r>
      <w:r>
        <w:rPr>
          <w:bCs/>
          <w:b/>
        </w:rPr>
        <w:t xml:space="preserve">东富龙（300171）</w:t>
      </w:r>
      <w:r>
        <w:t xml:space="preserve">编写的自动交易策略。</w:t>
      </w:r>
      <w:r>
        <w:t xml:space="preserve"> </w:t>
      </w:r>
      <w:r>
        <w:t xml:space="preserve">策略代码文件：</w:t>
      </w:r>
      <w:r>
        <w:rPr>
          <w:rStyle w:val="VerbatimChar"/>
        </w:rPr>
        <w:t xml:space="preserve">tofflon_300171_final.py</w:t>
      </w:r>
      <w:r>
        <w:t xml:space="preserve">（恒生 PTrade 平台）。</w:t>
      </w:r>
      <w:r>
        <w:t xml:space="preserve"> </w:t>
      </w:r>
      <w:r>
        <w:rPr>
          <w:bCs/>
          <w:b/>
        </w:rPr>
        <w:t xml:space="preserve">重要提示：本文仅为策略说明，不构成投资建议。股市有风险，入市需谨慎。</w:t>
      </w:r>
    </w:p>
    <w:bookmarkStart w:id="20" w:name="一句话看懂"/>
    <w:p>
      <w:pPr>
        <w:pStyle w:val="Heading2"/>
      </w:pPr>
      <w:r>
        <w:t xml:space="preserve">一句话看懂</w:t>
      </w:r>
    </w:p>
    <w:p>
      <w:pPr>
        <w:pStyle w:val="FirstParagraph"/>
      </w:pPr>
      <w:r>
        <w:t xml:space="preserve">这个策略像一只”守纪律的机器人”：</w:t>
      </w:r>
      <w:r>
        <w:rPr>
          <w:bCs/>
          <w:b/>
        </w:rPr>
        <w:t xml:space="preserve">只在涨势确立时买入，走势转弱或亏损到红线就果断卖出</w:t>
      </w:r>
      <w:r>
        <w:t xml:space="preserve">，每次买入前先算好”最多亏多少钱”，再决定买多少股。它不预测涨跌，只做两件事——顺势而为、严格止损。</w:t>
      </w:r>
    </w:p>
    <w:bookmarkEnd w:id="20"/>
    <w:bookmarkStart w:id="21" w:name="什么时候买入场规则三个条件同时满足"/>
    <w:p>
      <w:pPr>
        <w:pStyle w:val="Heading2"/>
      </w:pPr>
      <w:r>
        <w:t xml:space="preserve">什么时候买？（入场规则，三个条件同时满足）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金叉</w:t>
      </w:r>
      <w:r>
        <w:t xml:space="preserve">：10 日均线上穿 30 日均线。均线就是”最近 N 天收盘价的平均值”，10 日线比 30 日线跑得快，快线向上穿过慢线，说明近期买气在增强。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站上 60 日线</w:t>
      </w:r>
      <w:r>
        <w:t xml:space="preserve">：股价要站在 60 日均线之上。这是一道”大趋势过滤网”，避免在大跌市中抄底接飞刀。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放量</w:t>
      </w:r>
      <w:r>
        <w:t xml:space="preserve">：前一交易日成交量要超过 20 天平均量的 1.2 倍。价涨量增，说明上涨有真金白银支持，不是虚晃一枪。</w:t>
      </w:r>
    </w:p>
    <w:p>
      <w:pPr>
        <w:pStyle w:val="FirstParagraph"/>
      </w:pPr>
      <w:r>
        <w:t xml:space="preserve">三个条件</w:t>
      </w:r>
      <w:r>
        <w:rPr>
          <w:bCs/>
          <w:b/>
        </w:rPr>
        <w:t xml:space="preserve">缺一不可</w:t>
      </w:r>
      <w:r>
        <w:t xml:space="preserve">，每天下午 14:30 由程序自动检查一次，避免盘中噪声造成的假信号。</w:t>
      </w:r>
    </w:p>
    <w:bookmarkEnd w:id="21"/>
    <w:bookmarkStart w:id="22" w:name="买多少仓位管理先算亏得起多少"/>
    <w:p>
      <w:pPr>
        <w:pStyle w:val="Heading2"/>
      </w:pPr>
      <w:r>
        <w:t xml:space="preserve">买多少？（仓位管理，先算亏得起多少）</w:t>
      </w:r>
    </w:p>
    <w:p>
      <w:pPr>
        <w:pStyle w:val="FirstParagraph"/>
      </w:pPr>
      <w:r>
        <w:t xml:space="preserve">这是本策略最核心的设计：</w:t>
      </w:r>
      <w:r>
        <w:rPr>
          <w:bCs/>
          <w:b/>
        </w:rPr>
        <w:t xml:space="preserve">不是先想赚多少，而是先定”这笔最多亏多少”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单笔风险 = 账户净值的</w:t>
      </w:r>
      <w:r>
        <w:t xml:space="preserve"> </w:t>
      </w:r>
      <w:r>
        <w:rPr>
          <w:bCs/>
          <w:b/>
        </w:rPr>
        <w:t xml:space="preserve">2%</w:t>
      </w:r>
      <w:r>
        <w:t xml:space="preserve">（比如 10 万元账户，单笔最多容忍亏 2000 元）；</w:t>
      </w:r>
    </w:p>
    <w:p>
      <w:pPr>
        <w:numPr>
          <w:ilvl w:val="0"/>
          <w:numId w:val="1002"/>
        </w:numPr>
        <w:pStyle w:val="Compact"/>
      </w:pPr>
      <w:r>
        <w:t xml:space="preserve">止损距离 = 2.5 × ATR（ATR 是”平均真实波幅”，衡量这只股票平时一天波动多少钱，取最近 14 天）；</w:t>
      </w:r>
    </w:p>
    <w:p>
      <w:pPr>
        <w:numPr>
          <w:ilvl w:val="0"/>
          <w:numId w:val="1002"/>
        </w:numPr>
        <w:pStyle w:val="Compact"/>
      </w:pPr>
      <w:r>
        <w:t xml:space="preserve">股数 = 可承受亏损金额 ÷ 止损距离，再取整到</w:t>
      </w:r>
      <w:r>
        <w:t xml:space="preserve"> </w:t>
      </w:r>
      <w:r>
        <w:rPr>
          <w:bCs/>
          <w:b/>
        </w:rPr>
        <w:t xml:space="preserve">100 股的整数倍</w:t>
      </w:r>
      <w:r>
        <w:t xml:space="preserve">（A 股一手 100 股），且动用现金不超过可用资金的 95%。</w:t>
      </w:r>
    </w:p>
    <w:p>
      <w:pPr>
        <w:pStyle w:val="FirstParagraph"/>
      </w:pPr>
      <w:r>
        <w:rPr>
          <w:bCs/>
          <w:b/>
        </w:rPr>
        <w:t xml:space="preserve">举个算例</w:t>
      </w:r>
      <w:r>
        <w:t xml:space="preserve">（数字仅为演示，为简化未计佣金与滑点（实际成交价与预期价的偏差），实际成交会有少量成本）：账户净值 10 万元，股价 20 元，ATR 为 0.8 元。</w:t>
      </w:r>
    </w:p>
    <w:p>
      <w:pPr>
        <w:numPr>
          <w:ilvl w:val="0"/>
          <w:numId w:val="1003"/>
        </w:numPr>
        <w:pStyle w:val="Compact"/>
      </w:pPr>
      <w:r>
        <w:t xml:space="preserve">止损距离 = 2.5 × 0.8 =</w:t>
      </w:r>
      <w:r>
        <w:t xml:space="preserve"> </w:t>
      </w:r>
      <w:r>
        <w:rPr>
          <w:bCs/>
          <w:b/>
        </w:rPr>
        <w:t xml:space="preserve">2.0 元</w:t>
      </w:r>
      <w:r>
        <w:t xml:space="preserve">（即跌到 18 元就止损）；</w:t>
      </w:r>
    </w:p>
    <w:p>
      <w:pPr>
        <w:numPr>
          <w:ilvl w:val="0"/>
          <w:numId w:val="1003"/>
        </w:numPr>
        <w:pStyle w:val="Compact"/>
      </w:pPr>
      <w:r>
        <w:t xml:space="preserve">可亏金额 = 100,000 × 2% =</w:t>
      </w:r>
      <w:r>
        <w:t xml:space="preserve"> </w:t>
      </w:r>
      <w:r>
        <w:rPr>
          <w:bCs/>
          <w:b/>
        </w:rPr>
        <w:t xml:space="preserve">2,000 元</w:t>
      </w:r>
      <w:r>
        <w:t xml:space="preserve">；</w:t>
      </w:r>
    </w:p>
    <w:p>
      <w:pPr>
        <w:numPr>
          <w:ilvl w:val="0"/>
          <w:numId w:val="1003"/>
        </w:numPr>
        <w:pStyle w:val="Compact"/>
      </w:pPr>
      <w:r>
        <w:t xml:space="preserve">股数 = 2,000 ÷ 2.0 =</w:t>
      </w:r>
      <w:r>
        <w:t xml:space="preserve"> </w:t>
      </w:r>
      <w:r>
        <w:rPr>
          <w:bCs/>
          <w:b/>
        </w:rPr>
        <w:t xml:space="preserve">1,000 股</w:t>
      </w:r>
      <w:r>
        <w:t xml:space="preserve">（恰好 10 手），动用资金约 20,000 元，占总资产 20%。</w:t>
      </w:r>
    </w:p>
    <w:p>
      <w:pPr>
        <w:pStyle w:val="FirstParagraph"/>
      </w:pPr>
      <w:r>
        <w:t xml:space="preserve">波动大的股票自动买得少，波动小的买得多——仓位跟着风险走，而不是跟着感觉走。</w:t>
      </w:r>
    </w:p>
    <w:bookmarkEnd w:id="22"/>
    <w:bookmarkStart w:id="23" w:name="什么时候卖出场规则三道保险"/>
    <w:p>
      <w:pPr>
        <w:pStyle w:val="Heading2"/>
      </w:pPr>
      <w:r>
        <w:t xml:space="preserve">什么时候卖？（出场规则，三道保险）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死叉离场</w:t>
      </w:r>
      <w:r>
        <w:t xml:space="preserve">：10 日均线跌破 30 日均线并保持空头排列，说明趋势转弱，离场观望。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ATR 移动止损</w:t>
      </w:r>
      <w:r>
        <w:t xml:space="preserve">：从持仓期间的最高价回落超过 2.5 × ATR，说明强势不再，及时离场控制回撤。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-8% 硬止损</w:t>
      </w:r>
      <w:r>
        <w:t xml:space="preserve">：无论任何理由，只要股价跌到买入成本价的 92%（亏 8%），无条件离场。这是最后一道防火墙，防止单票深套。</w:t>
      </w:r>
    </w:p>
    <w:p>
      <w:pPr>
        <w:pStyle w:val="FirstParagraph"/>
      </w:pPr>
      <w:r>
        <w:t xml:space="preserve">卖出判断使用</w:t>
      </w:r>
      <w:r>
        <w:rPr>
          <w:bCs/>
          <w:b/>
        </w:rPr>
        <w:t xml:space="preserve">盘中实时价格</w:t>
      </w:r>
      <w:r>
        <w:t xml:space="preserve">（交易时段的快照价），而不是等收盘才发现。</w:t>
      </w:r>
    </w:p>
    <w:bookmarkEnd w:id="23"/>
    <w:bookmarkStart w:id="24" w:name="安全护栏风控规则"/>
    <w:p>
      <w:pPr>
        <w:pStyle w:val="Heading2"/>
      </w:pPr>
      <w:r>
        <w:t xml:space="preserve">安全护栏（风控规则）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问题股不买</w:t>
      </w:r>
      <w:r>
        <w:t xml:space="preserve">：股票被 ST、停牌、进入退市整理期（代码名称含”退”字也兜底识别）时禁止开新仓；停牌期间连卖出也暂停（想卖也卖不掉，如实处理）。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涨停不买、跌停不卖</w:t>
      </w:r>
      <w:r>
        <w:t xml:space="preserve">：涨停追进去容易买在最高点，跌停挂单也成交不了——策略遇到这两种情况会主动放弃或推迟，等下一个交易日再看（创业板涨跌停幅度为 20%，波动风险比主板更大）。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买卖权限分离</w:t>
      </w:r>
      <w:r>
        <w:t xml:space="preserve">：行情接口异常时，只禁止”买入”，不阻断”卖出”——止损的逃生通道永远保持畅通。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交易成本照实计入</w:t>
      </w:r>
      <w:r>
        <w:t xml:space="preserve">：佣金按万分之三（最低 5 元）、滑点 0.04 元/股设置，回测中如实计入交易成本。</w:t>
      </w:r>
    </w:p>
    <w:bookmarkEnd w:id="24"/>
    <w:bookmarkStart w:id="25" w:name="代码质量怎么保证"/>
    <w:p>
      <w:pPr>
        <w:pStyle w:val="Heading2"/>
      </w:pPr>
      <w:r>
        <w:t xml:space="preserve">代码质量怎么保证？</w:t>
      </w:r>
    </w:p>
    <w:p>
      <w:pPr>
        <w:pStyle w:val="FirstParagraph"/>
      </w:pPr>
      <w:r>
        <w:t xml:space="preserve">策略代码经过 3 轮”生成 → 自动静态检查 → 独立专家评审 → 修复”的迭代才定稿：</w:t>
      </w:r>
    </w:p>
    <w:p>
      <w:pPr>
        <w:numPr>
          <w:ilvl w:val="0"/>
          <w:numId w:val="1006"/>
        </w:numPr>
        <w:pStyle w:val="Compact"/>
      </w:pPr>
      <w:r>
        <w:t xml:space="preserve">自动检查包括：Python 3.5 语法兼容（PTrade 平台要求）、平台必选函数是否齐全、禁止危险库导入、API 拼写纠错等；</w:t>
      </w:r>
    </w:p>
    <w:p>
      <w:pPr>
        <w:numPr>
          <w:ilvl w:val="0"/>
          <w:numId w:val="1006"/>
        </w:numPr>
        <w:pStyle w:val="Compact"/>
      </w:pPr>
      <w:r>
        <w:t xml:space="preserve">评审修掉过 4 个”致命级”问题，比如一个接口调用写错会导致策略</w:t>
      </w:r>
      <w:r>
        <w:rPr>
          <w:bCs/>
          <w:b/>
        </w:rPr>
        <w:t xml:space="preserve">永远不下单</w:t>
      </w:r>
      <w:r>
        <w:t xml:space="preserve">、涨跌停判断用错价格会导致</w:t>
      </w:r>
      <w:r>
        <w:rPr>
          <w:bCs/>
          <w:b/>
        </w:rPr>
        <w:t xml:space="preserve">该拦的拦不住</w:t>
      </w:r>
      <w:r>
        <w:t xml:space="preserve">；</w:t>
      </w:r>
    </w:p>
    <w:p>
      <w:pPr>
        <w:numPr>
          <w:ilvl w:val="0"/>
          <w:numId w:val="1006"/>
        </w:numPr>
        <w:pStyle w:val="Compact"/>
      </w:pPr>
      <w:r>
        <w:t xml:space="preserve">最终版本以”零错误 + 评审无遗留问题”收敛，每一轮检查记录都完整留痕。</w:t>
      </w:r>
    </w:p>
    <w:bookmarkEnd w:id="25"/>
    <w:bookmarkStart w:id="26" w:name="它做不到什么局限与风险请务必读完"/>
    <w:p>
      <w:pPr>
        <w:pStyle w:val="Heading2"/>
      </w:pPr>
      <w:r>
        <w:t xml:space="preserve">它做不到什么？（局限与风险，请务必读完）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回测好 ≠ 未来好</w:t>
      </w:r>
      <w:r>
        <w:t xml:space="preserve">：历史数据上的表现不保证未来收益，行情风格一变，策略可能失效。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单票集中风险</w:t>
      </w:r>
      <w:r>
        <w:t xml:space="preserve">：策略只交易东富龙一只股票，公司自身的经营风险（业绩、诉讼、行业政策）无法靠止损完全规避。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趋势策略天生怕震荡</w:t>
      </w:r>
      <w:r>
        <w:t xml:space="preserve">：均线策略在横盘震荡市会被反复”打脸”（小亏多次），靠少数大趋势行情赚钱，连亏时心理压力不小。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参数不是”最优解”</w:t>
      </w:r>
      <w:r>
        <w:t xml:space="preserve">：10/30/60 均线、2% 风险、2.5 倍 ATR 等参数是合理经验值，建议在 PTrade 回测中按自己的资金量和风险偏好调整。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回测环境限制</w:t>
      </w:r>
      <w:r>
        <w:t xml:space="preserve">：PTrade 回测中取不到盘中实时快照价，策略会自动改用昨收价上下 20% 幅度估算涨跌停，回测结果可能与实盘略有差异。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再次强调：本文不构成投资建议</w:t>
      </w:r>
      <w:r>
        <w:t xml:space="preserve">，任何策略都可能亏损，请只用亏得起的钱。</w:t>
      </w:r>
    </w:p>
    <w:bookmarkEnd w:id="26"/>
    <w:bookmarkStart w:id="27" w:name="名词小词典"/>
    <w:p>
      <w:pPr>
        <w:pStyle w:val="Heading2"/>
      </w:pPr>
      <w:r>
        <w:t xml:space="preserve">名词小词典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白话解释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均线（MA）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 N 天收盘价的平均值，MA10 就是 10 天线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金叉 / 死叉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短期均线上穿 / 下穿长期均线，常被视为趋势转强 / 转弱信号；短期线持续在长期线下方称为”空头排列”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用历史行情数据模拟运行策略，检验它在过去的表现；过去表现好不代表未来也好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平均真实波幅，衡量股票日常波动幅度，用于设止损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移动止损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止损线跟着最高价一起上移，只进不退，用于控制回撤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滑点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实际成交价与预期价的差距，回测中如实扣除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 / 退市整理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交易所对风险股票的警示状态，这类股票禁止买入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创业板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深市的一个板块（代码 30 开头），涨跌停幅度 20%，波动更大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恒生电子的量化交易平台，本策略的运行环境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2026-08-20T16:51:52Z</dcterms:created>
  <dcterms:modified xsi:type="dcterms:W3CDTF">2026-08-20T16:51:52Z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