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'1.0' encoding='UTF-8' standalone='yes'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<w:body><w:bookmarkStart w:id="36" w:name="案头待办全景技术尽调报告-v1.02026-09-01"/><w:p><w:pPr><w:pStyle w:val="Heading1"/></w:pPr><w:r><w:t xml:space="preserve">案头待办全景技术尽调报告 v1.0（2026-09-01）</w:t></w:r></w:p><w:p><w:pPr><w:pStyle w:val="BlockText"/></w:pPr><w:r><w:t xml:space="preserve">穷举研究总署·首单。七域接口矩阵实况：查询域（context7 已用、插件域路由表已核）、生成域（本技能创刊）、分析域（本报告）、通道域（email/<通道库>/GitHub 已核——email 未配置如实标 blocked，<通道库> 广播在轨，GitHub MCP 在轨）、管理域（调度总署联挂）；缺席声明：金融数据源（金融线本侧暂缓中，不调用）。</w:t></w:r></w:p><w:bookmarkStart w:id="23" w:name="X8909cf63e7b78f2978e68d4a5221a29d036cb33"/><w:p><w:pPr><w:pStyle w:val="Heading2"/></w:pPr><w:r><w:t xml:space="preserve">一、项目「一拖十」材料族（项目说明/技术方案/应用证明×2/微信简讯×2/学会论文/图文说明/PPT/年终总结）</w:t></w:r></w:p><w:bookmarkStart w:id="20" w:name="核心解法一源多曝single-source-multi-output"/><w:p><w:pPr><w:pStyle w:val="Heading3"/></w:pPr><w:r><w:t xml:space="preserve">1.1 核心解法：一源多曝（single-source multi-output）</w:t></w:r></w:p><w:p><w:pPr><w:pStyle w:val="FirstParagraph"/></w:pPr><w:r><w:t xml:space="preserve">全部 10 件材料同源共生——先建一份《项目事实底册》（母文档），其余九件全部从母文档蒸馏：</w:t></w:r></w:p><w:p><w:pPr><w:numPr><w:ilvl w:val="0"/><w:numId w:val="1001"/></w:numPr><w:pStyle w:val="Compact"/></w:pPr><w:r><w:rPr><w:bCs/><w:b/></w:rPr><w:t xml:space="preserve">母文档先行</w:t></w:r><w:r><w:t xml:space="preserve">：把项目的事实层（背景/指标/数据/图片/成果/完成人）一次性收拢成一份结构化底册，此后任何材料只做「选段+调口径」，不再从零写；</w:t></w:r></w:p><w:p><w:pPr><w:numPr><w:ilvl w:val="0"/><w:numId w:val="1001"/></w:numPr><w:pStyle w:val="Compact"/></w:pPr><w:r><w:rPr><w:bCs/><w:b/></w:rPr><w:t xml:space="preserve">文体矩阵</w:t></w:r><w:r><w:t xml:space="preserve">：技术方案=报告体（report-writing）；学会论文=论文体（paper-writing，详见 §二）；简讯=200-400 字消息体；PPT=kimi-slides；年终总结=个人叙事体——文体各不相同，事实只有一份；</w:t></w:r></w:p><w:p><w:pPr><w:numPr><w:ilvl w:val="0"/><w:numId w:val="1001"/></w:numPr><w:pStyle w:val="Compact"/></w:pPr><w:r><w:rPr><w:bCs/><w:b/></w:rPr><w:t xml:space="preserve">应用证明×2</w:t></w:r><w:r><w:t xml:space="preserve">：属对外函件，口径须与证明单位核对，留「待对方确认」槽位。</w:t></w:r></w:p><w:bookmarkEnd w:id="20"/><w:bookmarkStart w:id="21" w:name="排期建议"/><w:p><w:pPr><w:pStyle w:val="Heading3"/></w:pPr><w:r><w:t xml:space="preserve">1.2 排期建议</w:t></w:r></w:p><w:p><w:pPr><w:pStyle w:val="FirstParagraph"/></w:pPr><w:r><w:t xml:space="preserve">母文档 1 天 → 技术方案与论文骨架 2 天 → 衍生件批量 1 天。评委已认定是 2-3 人的活且完成人已加两人——</w:t></w:r><w:r><w:rPr><w:bCs/><w:b/></w:rPr><w:t xml:space="preserve">材料里如实体现分工</w:t></w:r><w:r><w:t xml:space="preserve">，这既是事实也是保护。</w:t></w:r></w:p><w:bookmarkEnd w:id="21"/><w:bookmarkStart w:id="22" w:name="汇报与培训冲突"/><w:p><w:pPr><w:pStyle w:val="Heading3"/></w:pPr><w:r><w:t xml:space="preserve">1.3 汇报与培训冲突</w:t></w:r></w:p><w:p><w:pPr><w:pStyle w:val="FirstParagraph"/></w:pPr><w:r><w:t xml:space="preserve">接待方案（接去汇报再送回）本身就是单位给出的解法，接受它；要争取的是</w:t></w:r><w:r><w:rPr><w:bCs/><w:b/></w:rPr><w:t xml:space="preserve">汇报材料提前 48h 定稿</w:t></w:r><w:r><w:t xml:space="preserve">，避免车上改稿。</w:t></w:r></w:p><w:bookmarkEnd w:id="22"/><w:bookmarkEnd w:id="23"/><w:bookmarkStart w:id="27" w:name="二学会论文冲刊分析无线电物理物理通信结合"/><w:p><w:pPr><w:pStyle w:val="Heading2"/></w:pPr><w:r><w:t xml:space="preserve">二、学会论文冲刊分析（无线电物理=物理×通信结合）</w:t></w:r></w:p><w:bookmarkStart w:id="24" w:name="期刊梯度先定上限再定落点"/><w:p><w:pPr><w:pStyle w:val="Heading3"/></w:pPr><w:r><w:t xml:space="preserve">2.1 期刊梯度（先定上限再定落点）</w:t></w:r></w:p><w:p><w:pPr><w:numPr><w:ilvl w:val="0"/><w:numId w:val="1002"/></w:numPr><w:pStyle w:val="Compact"/></w:pPr><w:r><w:rPr><w:bCs/><w:b/></w:rPr><w:t xml:space="preserve">上限目标</w:t></w:r><w:r><w:t xml:space="preserve">：中科院 1/2 区 SCI（IEEE TAP、IEEE AWPL、Radio Science 等无线电物理对口刊）——要求：英文、方法创新明确、实验/仿真完整、周期 6-12 个月；</w:t></w:r></w:p><w:p><w:pPr><w:numPr><w:ilvl w:val="0"/><w:numId w:val="1002"/></w:numPr><w:pStyle w:val="Compact"/></w:pPr><w:r><w:rPr><w:bCs/><w:b/></w:rPr><w:t xml:space="preserve">腰部目标</w:t></w:r><w:r><w:t xml:space="preserve">：中文核心/CSCD（《电波科学学报》《物理学报》等）——要求：中文、格式循国标、周期 3-6 个月；</w:t></w:r></w:p><w:p><w:pPr><w:numPr><w:ilvl w:val="0"/><w:numId w:val="1002"/></w:numPr><w:pStyle w:val="Compact"/></w:pPr><w:r><w:rPr><w:bCs/><w:b/></w:rPr><w:t xml:space="preserve">学会论文（当前刚需）</w:t></w:r><w:r><w:t xml:space="preserve">：先投学会会议/会刊，</w:t></w:r><w:r><w:rPr><w:bCs/><w:b/></w:rPr><w:t xml:space="preserve">同一工作改写英文扩版再冲 SCI</w:t></w:r><w:r><w:t xml:space="preserve">——一鱼两吃，学会版即 SCI 版的中文稿。</w:t></w:r></w:p><w:bookmarkEnd w:id="24"/><w:bookmarkStart w:id="25" w:name="格式基线学术写作统一要求"/><w:p><w:pPr><w:pStyle w:val="Heading3"/></w:pPr><w:r><w:t xml:space="preserve">2.2 格式基线（学术写作统一要求）</w:t></w:r></w:p><w:p><w:pPr><w:pStyle w:val="FirstParagraph"/></w:pPr><w:r><w:t xml:space="preserve">标题-作者-单位-摘要-关键词（中英文双套）；正文 IMRaD（引言/方法/结果/讨论）；参考文献 GB/T 7714（中文刊）或 IEEE 式（英文刊）；图题表题双语；量和单位循 GB 3100。</w:t></w:r></w:p><w:bookmarkEnd w:id="25"/><w:bookmarkStart w:id="26" w:name="可行性提醒"/><w:p><w:pPr><w:pStyle w:val="Heading3"/></w:pPr><w:r><w:t xml:space="preserve">2.3 可行性提醒</w:t></w:r></w:p><w:p><w:pPr><w:pStyle w:val="FirstParagraph"/></w:pPr><w:r><w:t xml:space="preserve">冲 1/2 区的关键不在写作在</w:t></w:r><w:r><w:rPr><w:bCs/><w:b/></w:rPr><w:t xml:space="preserve">创新点与实验数据</w:t></w:r><w:r><w:t xml:space="preserve">——先用一句话写下「本文比已有工作多做了什么」，写不出这句话就先补工作再谈投稿（诚实声明：此判据无例外）。</w:t></w:r></w:p><w:bookmarkEnd w:id="26"/><w:bookmarkEnd w:id="27"/><w:bookmarkStart w:id="28" w:name="三高级软考复习工程化"/><w:p><w:pPr><w:pStyle w:val="Heading2"/></w:pPr><w:r><w:t xml:space="preserve">三、高级软考复习工程化</w:t></w:r></w:p><w:p><w:pPr><w:numPr><w:ilvl w:val="0"/><w:numId w:val="1003"/></w:numPr><w:pStyle w:val="Compact"/></w:pPr><w:r><w:rPr><w:bCs/><w:b/></w:rPr><w:t xml:space="preserve">框架</w:t></w:r><w:r><w:t xml:space="preserve">：官方教程+真题为唯一基准（信源五级制：真题=S 级）；</w:t></w:r></w:p><w:p><w:pPr><w:numPr><w:ilvl w:val="0"/><w:numId w:val="1003"/></w:numPr><w:pStyle w:val="Compact"/></w:pPr><w:r><w:rPr><w:bCs/><w:b/></w:rPr><w:t xml:space="preserve">三轮法</w:t></w:r><w:r><w:t xml:space="preserve">：①知识轮（按考纲过知识点，2-3 周）②真题轮（近 5 年真题闭卷计时，exam-isolation-ops 可实装：我出题你闭卷、隔离阅卷）③错题回炉轮；</w:t></w:r></w:p><w:p><w:pPr><w:numPr><w:ilvl w:val="0"/><w:numId w:val="1003"/></w:numPr><w:pStyle w:val="Compact"/></w:pPr><w:r><w:rPr><w:bCs/><w:b/></w:rPr><w:t xml:space="preserve">与案头材料错峰</w:t></w:r><w:r><w:t xml:space="preserve">：材料族集中 4 天清完后，每天固定 2h 软考，不断线。</w:t></w:r></w:p><w:bookmarkEnd w:id="28"/><w:bookmarkStart w:id="33" w:name="四非全硕博决策8-万投入的期望值核算"/><w:p><w:pPr><w:pStyle w:val="Heading2"/></w:pPr><w:r><w:t xml:space="preserve">四、非全硕博决策（8 万投入的期望值核算）</w:t></w:r></w:p><w:bookmarkStart w:id="29" w:name="候选集完整性声明全枚举"/><w:p><w:pPr><w:pStyle w:val="Heading3"/></w:pPr><w:r><w:t xml:space="preserve">4.1 候选集完整性声明（全枚举）</w:t></w:r></w:p><w:p><w:pPr><w:pStyle w:val="FirstParagraph"/></w:pPr><w:r><w:t xml:space="preserve">A. 非全 MEM｜B. 非全 MBA｜C. 非全硕士（福州大学目标专业）｜D. 直接非全博士｜E. 全不读，押注职称+证书路线——五案全列，不提前排除。</w:t></w:r></w:p><w:bookmarkEnd w:id="29"/><w:bookmarkStart w:id="30" w:name="逐案裁决理由"/><w:p><w:pPr><w:pStyle w:val="Heading3"/></w:pPr><w:r><w:t xml:space="preserve">4.2 逐案裁决理由</w:t></w:r></w:p><w:p><w:pPr><w:numPr><w:ilvl w:val="0"/><w:numId w:val="1004"/></w:numPr><w:pStyle w:val="Compact"/></w:pPr><w:r><w:rPr><w:bCs/><w:b/></w:rPr><w:t xml:space="preserve">B（MBA）落选</w:t></w:r><w:r><w:t xml:space="preserve">：对您（技术岗+国企）边际价值最低，MBA 溢价在管理岗跳槽市场；</w:t></w:r></w:p><w:p><w:pPr><w:numPr><w:ilvl w:val="0"/><w:numId w:val="1004"/></w:numPr><w:pStyle w:val="Compact"/></w:pPr><w:r><w:rPr><w:bCs/><w:b/></w:rPr><w:t xml:space="preserve">A（MEM）候选</w:t></w:r><w:r><w:t xml:space="preserve">：与工程背景匹配度最高，8 万档学费主流，职称评定认可；但单位已明示「读硕非全价值极低」——</w:t></w:r><w:r><w:rPr><w:bCs/><w:b/></w:rPr><w:t xml:space="preserve">单位口径是硬约束</w:t></w:r><w:r><w:t xml:space="preserve">（毕业证价值=社会价×单位认可系数，您的系数被单位压到近零）；</w:t></w:r></w:p><w:p><w:pPr><w:numPr><w:ilvl w:val="0"/><w:numId w:val="1004"/></w:numPr><w:pStyle w:val="Compact"/></w:pPr><w:r><w:rPr><w:bCs/><w:b/></w:rPr><w:t xml:space="preserve">C（福大非全硕）</w:t></w:r><w:r><w:t xml:space="preserve">：通勤不可行——福大在福州，长沙→福州高铁约 4.5-5h/航班约 1.5h 但两端接驳长，非全上课频率（集中班每月 1-2 次×3-4 天）下年均 15-20 趟，三年通勤成本（金钱+精力）≈学费本身，且单位认可度与 A 同档受压；</w:t></w:r></w:p><w:p><w:pPr><w:numPr><w:ilvl w:val="0"/><w:numId w:val="1004"/></w:numPr><w:pStyle w:val="Compact"/></w:pPr><w:r><w:rPr><w:bCs/><w:b/></w:rPr><w:t xml:space="preserve">D（非全博士）</w:t></w:r><w:r><w:t xml:space="preserve">：单位口径下唯一高值选项，但准入门槛不同——需导师推荐信+科研基础（您的学会论文/冲刊正是投名状）；赌博感来自「能不能考上+能不能毕业」，可控变量是</w:t></w:r><w:r><w:rPr><w:bCs/><w:b/></w:rPr><w:t xml:space="preserve">先建导师联系再决定报名</w:t></w:r><w:r><w:t xml:space="preserve">；</w:t></w:r></w:p><w:p><w:pPr><w:numPr><w:ilvl w:val="0"/><w:numId w:val="1004"/></w:numPr><w:pStyle w:val="Compact"/></w:pPr><w:r><w:rPr><w:bCs/><w:b/></w:rPr><w:t xml:space="preserve">E（不读）</w:t></w:r><w:r><w:t xml:space="preserve">：三年机会成本为零、现金成本为零，职称/证书路线在国企序列内自成通道——是 D 的对冲底仓而非放弃。</w:t></w:r></w:p><w:bookmarkEnd w:id="30"/><w:bookmarkStart w:id="31" w:name="三年贬值问题动态演化"/><w:p><w:pPr><w:pStyle w:val="Heading3"/></w:pPr><w:r><w:t xml:space="preserve">4.3 三年贬值问题（动态演化）</w:t></w:r></w:p><w:p><w:pPr><w:pStyle w:val="FirstParagraph"/></w:pPr><w:r><w:t xml:space="preserve">学历通胀是实的，但</w:t></w:r><w:r><w:rPr><w:bCs/><w:b/></w:rPr><w:t xml:space="preserve">单位承诺的口径比市场通胀更实</w:t></w:r><w:r><w:t xml:space="preserve">：若单位「博士认可」口径白纸黑字或长期稳定，D 的期望值&gt;0；若只是口头风向，三年后口径可能再变——向单位索要书面的培养/认可政策文件再下注（此为决策的前置条件，不可省）。</w:t></w:r></w:p><w:bookmarkEnd w:id="31"/><w:bookmarkStart w:id="32" w:name="推荐路径"/><w:p><w:pPr><w:pStyle w:val="Heading3"/></w:pPr><w:r><w:t xml:space="preserve">4.4 推荐路径</w:t></w:r></w:p><w:p><w:pPr><w:pStyle w:val="FirstParagraph"/></w:pPr><w:r><w:t xml:space="preserve">学会论文+冲刊（§二）先行 → 凭科研成果联系导师拿推荐信 → 索单位书面政策 → 三项齐了再报非全博士；MEM/福大非全硕当前判负。8 万不花，先花在论文版面与考试上。</w:t></w:r></w:p><w:bookmarkEnd w:id="32"/><w:bookmarkEnd w:id="33"/><w:bookmarkStart w:id="34" w:name="五裁决与下一步"/><w:p><w:pPr><w:pStyle w:val="Heading2"/></w:pPr><w:r><w:t xml:space="preserve">五、裁决与下一步</w:t></w:r></w:p><w:p><w:pPr><w:numPr><w:ilvl w:val="0"/><w:numId w:val="1005"/></w:numPr><w:pStyle w:val="Compact"/></w:pPr><w:r><w:t xml:space="preserve">本周：建项目事实底册（我可以现在就开骨架）；2. 论文：一句话创新点先写给我；3. 软考：定启动日与每日 2h 时段；4. 学历：按 §4.4 三步走，不提前交学费。</w:t></w:r></w:p><w:bookmarkEnd w:id="34"/><w:bookmarkStart w:id="35" w:name="免责锚"/><w:p><w:pPr><w:pStyle w:val="Heading2"/></w:pPr><w:r><w:t xml:space="preserve">免责锚</w:t></w:r></w:p><w:p><w:pPr><w:pStyle w:val="FirstParagraph"/></w:pPr><w:r><w:t xml:space="preserve">本报告为研究辅助与个人规划参考，不构成职业/投资/升学决策的最终依据；具体政策以官方文件为准。</w:t></w:r></w:p><w:bookmarkEnd w:id="35"/><w:bookmarkEnd w:id="36"/><w:sectPr/></w:body>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  <w:pPr>
      <w:spacing w:before="0" w:after="0" w:line="200" w:lineRule="exact"/>
    </w:pPr>
    <w:rPr>
      <w:sz w:val="18"/>
      <w:szCs w:val="18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?>
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2026-09-01T11:23:27Z</dcterms:created>
  <dcterms:modified xsi:type="dcterms:W3CDTF">2026-09-01T11:23:27Z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