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8F2620">
      <w:pPr>
        <w:pStyle w:val="10"/>
        <w:rPr>
          <w:rFonts w:asciiTheme="minorHAnsi" w:hAnsiTheme="minorHAnsi" w:cstheme="minorBidi"/>
          <w:smallCaps w:val="0"/>
          <w:color w:val="auto"/>
          <w:sz w:val="22"/>
          <w:szCs w:val="22"/>
          <w:lang w:eastAsia="ko-KR"/>
        </w:rPr>
      </w:pPr>
      <w:r w:rsidRPr="008F2620">
        <w:rPr>
          <w:lang w:eastAsia="en-US"/>
        </w:rPr>
        <w:fldChar w:fldCharType="begin"/>
      </w:r>
      <w:r w:rsidR="00115A96">
        <w:rPr>
          <w:lang w:eastAsia="en-US"/>
        </w:rPr>
        <w:instrText xml:space="preserve"> TOC \o "1-3" \h \z \u </w:instrText>
      </w:r>
      <w:r w:rsidRPr="008F2620">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8F2620">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8F2620">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8F2620">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8F2620">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8F2620">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8F2620"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w:t>
      </w:r>
      <w:proofErr w:type="spellStart"/>
      <w:r>
        <w:t>l’ANR</w:t>
      </w:r>
      <w:proofErr w:type="spellEnd"/>
      <w:r>
        <w:t xml:space="preserve">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D81C8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rsidR="00135CAE" w:rsidRPr="001E32EC" w:rsidRDefault="008F2620"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 xml:space="preserve">Rapport </w:t>
      </w:r>
      <w:proofErr w:type="spellStart"/>
      <w:r>
        <w:t>d’avancement</w:t>
      </w:r>
      <w:bookmarkEnd w:id="9"/>
      <w:proofErr w:type="spellEnd"/>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Mobius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9" w:history="1">
              <w:r w:rsidR="00DD5851" w:rsidRPr="001B5681">
                <w:rPr>
                  <w:rStyle w:val="a5"/>
                </w:rPr>
                <w:t>Tosca shape repository</w:t>
              </w:r>
            </w:hyperlink>
            <w:r w:rsidR="00DD5851" w:rsidRPr="00DD5851">
              <w:rPr>
                <w:rStyle w:val="a5"/>
                <w:rFonts w:eastAsia="Batang" w:hint="eastAsia"/>
                <w:color w:val="auto"/>
                <w:u w:val="none"/>
                <w:lang w:eastAsia="ko-KR"/>
              </w:rPr>
              <w:t>,</w:t>
            </w:r>
            <w:r w:rsidR="00DD5851" w:rsidRPr="00DD5851">
              <w:rPr>
                <w:rStyle w:val="a5"/>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Mobius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rsidR="0040220C" w:rsidRPr="00D128CF" w:rsidRDefault="0008746D" w:rsidP="00812171">
            <w:pPr>
              <w:rPr>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w:t>
            </w:r>
            <w:proofErr w:type="spellStart"/>
            <w:r w:rsidR="00127484">
              <w:t>spatio</w:t>
            </w:r>
            <w:proofErr w:type="spellEnd"/>
            <w:r w:rsidR="00127484">
              <w:t>-temporal”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rsidR="00745D01" w:rsidRPr="00CA34B3" w:rsidRDefault="00745D01" w:rsidP="00812171">
            <w:pPr>
              <w:rPr>
                <w:szCs w:val="22"/>
              </w:rPr>
            </w:pPr>
            <w:r w:rsidRPr="00CA34B3">
              <w:rPr>
                <w:b/>
              </w:rPr>
              <w:t xml:space="preserve">Temporal segmentation of </w:t>
            </w:r>
            <w:r w:rsidR="005F04A0" w:rsidRPr="00CA34B3">
              <w:rPr>
                <w:b/>
              </w:rPr>
              <w:t xml:space="preserve">deforming </w:t>
            </w:r>
            <w:proofErr w:type="gramStart"/>
            <w:r w:rsidR="005F04A0" w:rsidRPr="00CA34B3">
              <w:rPr>
                <w:b/>
              </w:rPr>
              <w:t>mesh</w:t>
            </w:r>
            <w:proofErr w:type="gramEnd"/>
            <w:r w:rsidR="00C50F40" w:rsidRPr="00CA34B3">
              <w:rPr>
                <w:b/>
              </w:rPr>
              <w:t xml:space="preserve"> [2]</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w:t>
            </w:r>
            <w:r w:rsidRPr="00CA34B3">
              <w:rPr>
                <w:szCs w:val="22"/>
              </w:rPr>
              <w:lastRenderedPageBreak/>
              <w:t xml:space="preserve">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rsidR="00225CA0" w:rsidRDefault="00745D01" w:rsidP="00225CA0">
            <w:pPr>
              <w:rPr>
                <w:rFonts w:eastAsia="Malgun Gothic"/>
                <w:szCs w:val="22"/>
                <w:lang w:eastAsia="ko-KR"/>
              </w:rPr>
            </w:pPr>
            <w:proofErr w:type="gramStart"/>
            <w:r w:rsidRPr="00CA34B3">
              <w:rPr>
                <w:b/>
              </w:rPr>
              <w:t xml:space="preserve">Compression of </w:t>
            </w:r>
            <w:r w:rsidR="00CA7D14" w:rsidRPr="00CA34B3">
              <w:rPr>
                <w:b/>
              </w:rPr>
              <w:t>deforming mesh</w:t>
            </w:r>
            <w:proofErr w:type="gramEnd"/>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rsidR="00745D01" w:rsidRPr="0034402A" w:rsidRDefault="00745D01" w:rsidP="00225CA0">
            <w:pPr>
              <w:rPr>
                <w:rFonts w:eastAsia="Malgun Gothic"/>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proofErr w:type="spellStart"/>
            <w:r w:rsidR="00204AFB" w:rsidRPr="00CA34B3">
              <w:rPr>
                <w:szCs w:val="22"/>
              </w:rPr>
              <w:t>spatio</w:t>
            </w:r>
            <w:proofErr w:type="spellEnd"/>
            <w:r w:rsidR="00204AFB" w:rsidRPr="00CA34B3">
              <w:rPr>
                <w:szCs w:val="22"/>
              </w:rPr>
              <w:t>-temporal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proofErr w:type="spellStart"/>
            <w:r w:rsidR="00204AFB" w:rsidRPr="00CA34B3">
              <w:rPr>
                <w:szCs w:val="22"/>
              </w:rPr>
              <w:t>spatio</w:t>
            </w:r>
            <w:proofErr w:type="spellEnd"/>
            <w:r w:rsidR="00204AFB" w:rsidRPr="00CA34B3">
              <w:rPr>
                <w:szCs w:val="22"/>
              </w:rPr>
              <w:t>-temporal</w:t>
            </w:r>
            <w:r w:rsidRPr="00CA34B3">
              <w:rPr>
                <w:szCs w:val="22"/>
              </w:rPr>
              <w:t xml:space="preserve"> segment. (3) </w:t>
            </w:r>
            <w:r w:rsidR="009915AC" w:rsidRPr="00CA34B3">
              <w:rPr>
                <w:szCs w:val="22"/>
              </w:rPr>
              <w:t xml:space="preserve">We introduce a </w:t>
            </w:r>
            <w:proofErr w:type="spellStart"/>
            <w:r w:rsidR="009915AC" w:rsidRPr="00CA34B3">
              <w:rPr>
                <w:szCs w:val="22"/>
              </w:rPr>
              <w:t>spatio</w:t>
            </w:r>
            <w:proofErr w:type="spellEnd"/>
            <w:r w:rsidR="009915AC" w:rsidRPr="00CA34B3">
              <w:rPr>
                <w:szCs w:val="22"/>
              </w:rPr>
              <w:t>-temporal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proofErr w:type="spellStart"/>
            <w:r w:rsidR="00401E3E" w:rsidRPr="00CA34B3">
              <w:rPr>
                <w:szCs w:val="22"/>
              </w:rPr>
              <w:t>spatio</w:t>
            </w:r>
            <w:proofErr w:type="spellEnd"/>
            <w:r w:rsidR="00401E3E" w:rsidRPr="00CA34B3">
              <w:rPr>
                <w:szCs w:val="22"/>
              </w:rPr>
              <w:t xml:space="preserve">-temporal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similarity</w:t>
            </w:r>
            <w:r w:rsidR="009F55C9">
              <w:rPr>
                <w:rFonts w:hint="eastAsia"/>
                <w:szCs w:val="22"/>
                <w:lang w:eastAsia="ko-KR"/>
              </w:rPr>
              <w:t xml:space="preserve"> of motions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rsidR="00225CA0" w:rsidRPr="00225CA0" w:rsidRDefault="00225CA0" w:rsidP="00225CA0">
            <w:pPr>
              <w:rPr>
                <w:rFonts w:eastAsia="Malgun Gothic"/>
                <w:szCs w:val="22"/>
                <w:lang w:eastAsia="ko-KR"/>
              </w:rPr>
            </w:pPr>
          </w:p>
          <w:p w:rsidR="00511E6B" w:rsidRPr="003F3776" w:rsidRDefault="000D516F" w:rsidP="009F1DED">
            <w:pPr>
              <w:rPr>
                <w:rFonts w:ascii="Times New Roman" w:hAnsi="Times New Roman"/>
                <w:sz w:val="20"/>
                <w:szCs w:val="16"/>
                <w:lang w:val="en-US"/>
              </w:rPr>
            </w:pPr>
            <w:r w:rsidRPr="003F3776">
              <w:rPr>
                <w:rFonts w:ascii="Times New Roman" w:hAnsi="Times New Roman"/>
                <w:sz w:val="20"/>
                <w:szCs w:val="16"/>
                <w:lang w:val="en-US"/>
              </w:rPr>
              <w:t xml:space="preserve">[1] </w:t>
            </w:r>
            <w:proofErr w:type="spellStart"/>
            <w:r w:rsidRPr="003F3776">
              <w:rPr>
                <w:rFonts w:ascii="Times New Roman" w:hAnsi="Times New Roman"/>
                <w:sz w:val="20"/>
                <w:szCs w:val="16"/>
                <w:lang w:val="en-US"/>
              </w:rPr>
              <w:t>Mykhalchuk</w:t>
            </w:r>
            <w:proofErr w:type="spellEnd"/>
            <w:r w:rsidR="0081479C">
              <w:rPr>
                <w:rFonts w:ascii="Times New Roman" w:hAnsi="Times New Roman" w:hint="eastAsia"/>
                <w:sz w:val="20"/>
                <w:szCs w:val="16"/>
                <w:lang w:val="en-US" w:eastAsia="ko-KR"/>
              </w:rPr>
              <w:t xml:space="preserve"> V.</w:t>
            </w:r>
            <w:r w:rsidRPr="003F3776">
              <w:rPr>
                <w:rFonts w:ascii="Times New Roman" w:hAnsi="Times New Roman"/>
                <w:sz w:val="20"/>
                <w:szCs w:val="16"/>
                <w:lang w:val="en-US"/>
              </w:rPr>
              <w:t xml:space="preserve">, </w:t>
            </w:r>
            <w:proofErr w:type="spellStart"/>
            <w:r w:rsidRPr="003F3776">
              <w:rPr>
                <w:rFonts w:ascii="Times New Roman" w:hAnsi="Times New Roman"/>
                <w:sz w:val="20"/>
                <w:szCs w:val="16"/>
                <w:lang w:val="en-US"/>
              </w:rPr>
              <w:t>Cordier</w:t>
            </w:r>
            <w:proofErr w:type="spellEnd"/>
            <w:r w:rsidR="0081479C">
              <w:rPr>
                <w:rFonts w:ascii="Times New Roman" w:hAnsi="Times New Roman" w:hint="eastAsia"/>
                <w:sz w:val="20"/>
                <w:szCs w:val="16"/>
                <w:lang w:val="en-US" w:eastAsia="ko-KR"/>
              </w:rPr>
              <w:t xml:space="preserve"> F.</w:t>
            </w:r>
            <w:r w:rsidRPr="003F3776">
              <w:rPr>
                <w:rFonts w:ascii="Times New Roman" w:hAnsi="Times New Roman"/>
                <w:sz w:val="20"/>
                <w:szCs w:val="16"/>
                <w:lang w:val="en-US"/>
              </w:rPr>
              <w:t xml:space="preserve">, </w:t>
            </w:r>
            <w:proofErr w:type="spellStart"/>
            <w:r w:rsidRPr="003F3776">
              <w:rPr>
                <w:rFonts w:ascii="Times New Roman" w:hAnsi="Times New Roman"/>
                <w:sz w:val="20"/>
                <w:szCs w:val="16"/>
                <w:lang w:val="en-US"/>
              </w:rPr>
              <w:t>Seo</w:t>
            </w:r>
            <w:proofErr w:type="spellEnd"/>
            <w:r w:rsidR="0081479C">
              <w:rPr>
                <w:rFonts w:ascii="Times New Roman" w:hAnsi="Times New Roman" w:hint="eastAsia"/>
                <w:sz w:val="20"/>
                <w:szCs w:val="16"/>
                <w:lang w:val="en-US" w:eastAsia="ko-KR"/>
              </w:rPr>
              <w:t xml:space="preserve"> H.</w:t>
            </w:r>
            <w:r w:rsidRPr="003F3776">
              <w:rPr>
                <w:rFonts w:ascii="Times New Roman" w:hAnsi="Times New Roman"/>
                <w:sz w:val="20"/>
                <w:szCs w:val="16"/>
                <w:lang w:val="en-US"/>
              </w:rPr>
              <w:t>: Landmark Transfer with Minimal Graph, Computers &amp; Graphics (Elsevier), Vol. 37, Issue 5, August 2013, Pages 539–552.</w:t>
            </w:r>
          </w:p>
          <w:p w:rsidR="0086540F" w:rsidRPr="003F3776" w:rsidRDefault="0086540F" w:rsidP="009F1DED">
            <w:pPr>
              <w:rPr>
                <w:rFonts w:ascii="Times New Roman" w:hAnsi="Times New Roman"/>
                <w:sz w:val="20"/>
                <w:szCs w:val="16"/>
                <w:lang w:val="en-US"/>
              </w:rPr>
            </w:pPr>
            <w:r w:rsidRPr="003F3776">
              <w:rPr>
                <w:rFonts w:ascii="Times New Roman" w:hAnsi="Times New Roman"/>
                <w:sz w:val="20"/>
                <w:szCs w:val="16"/>
                <w:lang w:val="en-US"/>
              </w:rPr>
              <w:t xml:space="preserve">[2] </w:t>
            </w:r>
            <w:proofErr w:type="spellStart"/>
            <w:r w:rsidR="006F28F9" w:rsidRPr="003F3776">
              <w:rPr>
                <w:rFonts w:ascii="Times New Roman" w:hAnsi="Times New Roman"/>
                <w:sz w:val="20"/>
                <w:szCs w:val="16"/>
                <w:lang w:val="en-US"/>
              </w:rPr>
              <w:t>Luo</w:t>
            </w:r>
            <w:proofErr w:type="spellEnd"/>
            <w:r w:rsidR="006F28F9" w:rsidRPr="003F3776">
              <w:rPr>
                <w:rFonts w:ascii="Times New Roman" w:hAnsi="Times New Roman"/>
                <w:sz w:val="20"/>
                <w:szCs w:val="16"/>
                <w:lang w:val="en-US"/>
              </w:rPr>
              <w:t xml:space="preserve"> G., </w:t>
            </w:r>
            <w:proofErr w:type="spellStart"/>
            <w:r w:rsidR="006F28F9" w:rsidRPr="003F3776">
              <w:rPr>
                <w:rFonts w:ascii="Times New Roman" w:hAnsi="Times New Roman"/>
                <w:sz w:val="20"/>
                <w:szCs w:val="16"/>
                <w:lang w:val="en-US"/>
              </w:rPr>
              <w:t>Seo</w:t>
            </w:r>
            <w:proofErr w:type="spellEnd"/>
            <w:r w:rsidR="006F28F9" w:rsidRPr="003F3776">
              <w:rPr>
                <w:rFonts w:ascii="Times New Roman" w:hAnsi="Times New Roman"/>
                <w:sz w:val="20"/>
                <w:szCs w:val="16"/>
                <w:lang w:val="en-US"/>
              </w:rPr>
              <w:t xml:space="preserve"> H., </w:t>
            </w:r>
            <w:proofErr w:type="spellStart"/>
            <w:r w:rsidR="006F28F9" w:rsidRPr="003F3776">
              <w:rPr>
                <w:rFonts w:ascii="Times New Roman" w:hAnsi="Times New Roman"/>
                <w:sz w:val="20"/>
                <w:szCs w:val="16"/>
                <w:lang w:val="en-US"/>
              </w:rPr>
              <w:t>Cordier</w:t>
            </w:r>
            <w:proofErr w:type="spellEnd"/>
            <w:r w:rsidR="006F28F9" w:rsidRPr="003F3776">
              <w:rPr>
                <w:rFonts w:ascii="Times New Roman" w:hAnsi="Times New Roman"/>
                <w:sz w:val="20"/>
                <w:szCs w:val="16"/>
                <w:lang w:val="en-US"/>
              </w:rPr>
              <w:t xml:space="preserve"> </w:t>
            </w:r>
            <w:proofErr w:type="gramStart"/>
            <w:r w:rsidR="006F28F9" w:rsidRPr="003F3776">
              <w:rPr>
                <w:rFonts w:ascii="Times New Roman" w:hAnsi="Times New Roman"/>
                <w:sz w:val="20"/>
                <w:szCs w:val="16"/>
                <w:lang w:val="en-US"/>
              </w:rPr>
              <w:t>F..</w:t>
            </w:r>
            <w:proofErr w:type="gramEnd"/>
            <w:r w:rsidR="006F28F9" w:rsidRPr="003F3776">
              <w:rPr>
                <w:rFonts w:ascii="Times New Roman" w:hAnsi="Times New Roman"/>
                <w:sz w:val="20"/>
                <w:szCs w:val="16"/>
                <w:lang w:val="en-US"/>
              </w:rPr>
              <w:t xml:space="preserve"> Temporal segmentation of deforming mesh. Pacific Graphics Short Papers. The </w:t>
            </w:r>
            <w:proofErr w:type="spellStart"/>
            <w:r w:rsidR="006F28F9" w:rsidRPr="003F3776">
              <w:rPr>
                <w:rFonts w:ascii="Times New Roman" w:hAnsi="Times New Roman"/>
                <w:sz w:val="20"/>
                <w:szCs w:val="16"/>
                <w:lang w:val="en-US"/>
              </w:rPr>
              <w:t>Eurographics</w:t>
            </w:r>
            <w:proofErr w:type="spellEnd"/>
            <w:r w:rsidR="006F28F9" w:rsidRPr="003F3776">
              <w:rPr>
                <w:rFonts w:ascii="Times New Roman" w:hAnsi="Times New Roman"/>
                <w:sz w:val="20"/>
                <w:szCs w:val="16"/>
                <w:lang w:val="en-US"/>
              </w:rPr>
              <w:t xml:space="preserve"> Association, 2013. (</w:t>
            </w:r>
            <w:proofErr w:type="gramStart"/>
            <w:r w:rsidR="00070D4D" w:rsidRPr="003F3776">
              <w:rPr>
                <w:rFonts w:ascii="Times New Roman" w:hAnsi="Times New Roman"/>
                <w:sz w:val="20"/>
                <w:szCs w:val="16"/>
                <w:lang w:val="en-US"/>
              </w:rPr>
              <w:t>under</w:t>
            </w:r>
            <w:proofErr w:type="gramEnd"/>
            <w:r w:rsidR="00070D4D" w:rsidRPr="003F3776">
              <w:rPr>
                <w:rFonts w:ascii="Times New Roman" w:hAnsi="Times New Roman"/>
                <w:sz w:val="20"/>
                <w:szCs w:val="16"/>
                <w:lang w:val="en-US"/>
              </w:rPr>
              <w:t xml:space="preserve"> review</w:t>
            </w:r>
            <w:r w:rsidR="006F28F9" w:rsidRPr="003F3776">
              <w:rPr>
                <w:rFonts w:ascii="Times New Roman" w:hAnsi="Times New Roman"/>
                <w:sz w:val="20"/>
                <w:szCs w:val="16"/>
                <w:lang w:val="en-US"/>
              </w:rPr>
              <w:t>).</w:t>
            </w:r>
          </w:p>
          <w:p w:rsidR="0086540F" w:rsidRPr="003F3776" w:rsidRDefault="0086540F" w:rsidP="009F1DED">
            <w:pPr>
              <w:rPr>
                <w:rFonts w:ascii="Times New Roman" w:eastAsia="Malgun Gothic" w:hAnsi="Times New Roman"/>
                <w:sz w:val="20"/>
                <w:szCs w:val="16"/>
                <w:lang w:val="en-US" w:eastAsia="ko-KR"/>
              </w:rPr>
            </w:pPr>
            <w:r w:rsidRPr="003F3776">
              <w:rPr>
                <w:rFonts w:ascii="Times New Roman" w:hAnsi="Times New Roman"/>
                <w:sz w:val="20"/>
                <w:szCs w:val="16"/>
                <w:lang w:val="en-US"/>
              </w:rPr>
              <w:t xml:space="preserve">[3] </w:t>
            </w:r>
            <w:proofErr w:type="spellStart"/>
            <w:r w:rsidR="006F28F9" w:rsidRPr="003F3776">
              <w:rPr>
                <w:rFonts w:ascii="Times New Roman" w:hAnsi="Times New Roman"/>
                <w:sz w:val="20"/>
                <w:szCs w:val="16"/>
                <w:lang w:val="en-US"/>
              </w:rPr>
              <w:t>Luo</w:t>
            </w:r>
            <w:proofErr w:type="spellEnd"/>
            <w:r w:rsidR="006F28F9" w:rsidRPr="003F3776">
              <w:rPr>
                <w:rFonts w:ascii="Times New Roman" w:hAnsi="Times New Roman"/>
                <w:sz w:val="20"/>
                <w:szCs w:val="16"/>
                <w:lang w:val="en-US"/>
              </w:rPr>
              <w:t xml:space="preserve">, G., </w:t>
            </w:r>
            <w:proofErr w:type="spellStart"/>
            <w:r w:rsidR="006F28F9" w:rsidRPr="003F3776">
              <w:rPr>
                <w:rFonts w:ascii="Times New Roman" w:hAnsi="Times New Roman"/>
                <w:sz w:val="20"/>
                <w:szCs w:val="16"/>
                <w:lang w:val="en-US"/>
              </w:rPr>
              <w:t>Cordier</w:t>
            </w:r>
            <w:proofErr w:type="spellEnd"/>
            <w:r w:rsidR="006F28F9" w:rsidRPr="003F3776">
              <w:rPr>
                <w:rFonts w:ascii="Times New Roman" w:hAnsi="Times New Roman"/>
                <w:sz w:val="20"/>
                <w:szCs w:val="16"/>
                <w:lang w:val="en-US"/>
              </w:rPr>
              <w:t xml:space="preserve">, F. and </w:t>
            </w:r>
            <w:proofErr w:type="spellStart"/>
            <w:r w:rsidR="006F28F9" w:rsidRPr="003F3776">
              <w:rPr>
                <w:rFonts w:ascii="Times New Roman" w:hAnsi="Times New Roman"/>
                <w:sz w:val="20"/>
                <w:szCs w:val="16"/>
                <w:lang w:val="en-US"/>
              </w:rPr>
              <w:t>Seo</w:t>
            </w:r>
            <w:proofErr w:type="spellEnd"/>
            <w:r w:rsidR="006F28F9" w:rsidRPr="003F3776">
              <w:rPr>
                <w:rFonts w:ascii="Times New Roman" w:hAnsi="Times New Roman"/>
                <w:sz w:val="20"/>
                <w:szCs w:val="16"/>
                <w:lang w:val="en-US"/>
              </w:rPr>
              <w:t xml:space="preserve">, H. (2013), Compression of 3D mesh sequences by temporal segmentation. Comp. Anim. Virtual Worlds, 24: 365–375. </w:t>
            </w:r>
            <w:proofErr w:type="spellStart"/>
            <w:proofErr w:type="gramStart"/>
            <w:r w:rsidR="006F28F9" w:rsidRPr="003F3776">
              <w:rPr>
                <w:rFonts w:ascii="Times New Roman" w:hAnsi="Times New Roman"/>
                <w:sz w:val="20"/>
                <w:szCs w:val="16"/>
                <w:lang w:val="en-US"/>
              </w:rPr>
              <w:t>doi</w:t>
            </w:r>
            <w:proofErr w:type="spellEnd"/>
            <w:proofErr w:type="gramEnd"/>
            <w:r w:rsidR="006F28F9" w:rsidRPr="003F3776">
              <w:rPr>
                <w:rFonts w:ascii="Times New Roman" w:hAnsi="Times New Roman"/>
                <w:sz w:val="20"/>
                <w:szCs w:val="16"/>
                <w:lang w:val="en-US"/>
              </w:rPr>
              <w:t>: 10.1002/cav.1522.</w:t>
            </w:r>
          </w:p>
          <w:p w:rsidR="00225CA0" w:rsidRPr="00225CA0" w:rsidRDefault="00225CA0" w:rsidP="009F1DED">
            <w:pPr>
              <w:rPr>
                <w:rFonts w:eastAsia="Malgun Gothic"/>
                <w:lang w:eastAsia="ko-KR"/>
              </w:rPr>
            </w:pP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6D1972" w:rsidRDefault="00CA34B3" w:rsidP="00446AF2">
            <w:pPr>
              <w:rPr>
                <w:rFonts w:eastAsia="Malgun Gothic"/>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0" w:history="1">
              <w:r w:rsidRPr="006D1972">
                <w:rPr>
                  <w:rStyle w:val="a5"/>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1" w:history="1">
              <w:r w:rsidRPr="006D1972">
                <w:rPr>
                  <w:rStyle w:val="a5"/>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2" w:history="1">
              <w:r w:rsidRPr="006D1972">
                <w:rPr>
                  <w:rStyle w:val="a5"/>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w:t>
            </w:r>
            <w:proofErr w:type="spellStart"/>
            <w:r w:rsidR="00002BDF">
              <w:rPr>
                <w:rFonts w:hint="eastAsia"/>
                <w:lang w:eastAsia="ko-KR"/>
              </w:rPr>
              <w:t>mocap</w:t>
            </w:r>
            <w:proofErr w:type="spellEnd"/>
            <w:r w:rsidR="00002BDF">
              <w:rPr>
                <w:rFonts w:hint="eastAsia"/>
                <w:lang w:eastAsia="ko-KR"/>
              </w:rPr>
              <w:t xml:space="preserve">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proofErr w:type="spellStart"/>
            <w:r>
              <w:t>m</w:t>
            </w:r>
            <w:r w:rsidRPr="00CA2F6B">
              <w:t>ocap</w:t>
            </w:r>
            <w:proofErr w:type="spellEnd"/>
            <w:r w:rsidRPr="00CA2F6B">
              <w:t xml:space="preserve"> </w:t>
            </w:r>
            <w:r w:rsidR="004E6C3E">
              <w:rPr>
                <w:rFonts w:hint="eastAsia"/>
                <w:lang w:eastAsia="ko-KR"/>
              </w:rPr>
              <w:t>data</w:t>
            </w:r>
            <w:r w:rsidRPr="00CA2F6B">
              <w:t>.</w:t>
            </w:r>
            <w:r>
              <w:t xml:space="preserve"> </w:t>
            </w:r>
          </w:p>
          <w:p w:rsidR="00446AF2" w:rsidRPr="000458D6" w:rsidRDefault="00CA34B3" w:rsidP="00446AF2">
            <w:pPr>
              <w:rPr>
                <w:rFonts w:eastAsia="Malgun Gothic"/>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animated mesh sequences. For the validation of the registration method, we will find examples where static registration methods fail, and will show that our registration is able to find </w:t>
            </w:r>
            <w:r w:rsidRPr="00B36869">
              <w:rPr>
                <w:rFonts w:cs="Palatino Linotype"/>
                <w:szCs w:val="22"/>
                <w:lang w:val="en-US"/>
              </w:rPr>
              <w:lastRenderedPageBreak/>
              <w:t>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This will allow us to avoid having to work on ground-truth segmentations, while being able to validate the work effectively.</w:t>
            </w:r>
          </w:p>
          <w:p w:rsidR="00DC088C" w:rsidRPr="008D4355" w:rsidRDefault="00DC088C" w:rsidP="00446AF2"/>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rsidR="006B5367" w:rsidRPr="008743B9" w:rsidRDefault="006B5367" w:rsidP="00D42637">
            <w:pPr>
              <w:rPr>
                <w:rFonts w:eastAsia="Malgun Gothic"/>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 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The work has been accepted 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3" w:history="1">
              <w:r w:rsidR="00DA17FA" w:rsidRPr="008743B9">
                <w:rPr>
                  <w:rStyle w:val="a5"/>
                </w:rPr>
                <w:t>Collage Authoring Environment</w:t>
              </w:r>
            </w:hyperlink>
            <w:r w:rsidR="00752817" w:rsidRPr="008743B9">
              <w:t>.</w:t>
            </w:r>
          </w:p>
          <w:p w:rsidR="00745D01" w:rsidRPr="00D72CFC" w:rsidRDefault="00D72CFC" w:rsidP="00745D01">
            <w:pPr>
              <w:rPr>
                <w:rFonts w:eastAsia="Malgun Gothic"/>
                <w:lang w:eastAsia="ko-KR"/>
              </w:rPr>
            </w:pPr>
            <w:proofErr w:type="spellStart"/>
            <w:r>
              <w:rPr>
                <w:rFonts w:hint="eastAsia"/>
                <w:b/>
                <w:lang w:eastAsia="ko-KR"/>
              </w:rPr>
              <w:t>Spatio</w:t>
            </w:r>
            <w:proofErr w:type="spellEnd"/>
            <w:r>
              <w:rPr>
                <w:rFonts w:hint="eastAsia"/>
                <w:b/>
                <w:lang w:eastAsia="ko-KR"/>
              </w:rPr>
              <w:t>-t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proofErr w:type="spellStart"/>
            <w:r>
              <w:rPr>
                <w:rFonts w:hint="eastAsia"/>
                <w:lang w:eastAsia="ko-KR"/>
              </w:rPr>
              <w:t>spatio</w:t>
            </w:r>
            <w:proofErr w:type="spellEnd"/>
            <w:r>
              <w:rPr>
                <w:rFonts w:hint="eastAsia"/>
                <w:lang w:eastAsia="ko-KR"/>
              </w:rPr>
              <w:t>-temporal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Entreprise</w:t>
            </w:r>
            <w:proofErr w:type="spellEnd"/>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6" w:name="_Toc358726667"/>
      <w:r w:rsidRPr="00745D01">
        <w:rPr>
          <w:lang w:val="fr-FR"/>
        </w:rPr>
        <w:lastRenderedPageBreak/>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proofErr w:type="spellStart"/>
      <w:r>
        <w:t>Commentaires</w:t>
      </w:r>
      <w:proofErr w:type="spellEnd"/>
      <w:r>
        <w:t xml:space="preserve"> </w:t>
      </w:r>
      <w:proofErr w:type="spellStart"/>
      <w:r>
        <w:t>libres</w:t>
      </w:r>
      <w:proofErr w:type="spellEnd"/>
      <w:r w:rsidR="008C7DC7">
        <w:rPr>
          <w:rFonts w:hint="eastAsia"/>
          <w:lang w:eastAsia="ko-KR"/>
        </w:rPr>
        <w:t xml:space="preserve"> </w:t>
      </w:r>
      <w:r w:rsidR="008C7DC7" w:rsidRPr="0050019A">
        <w:rPr>
          <w:rFonts w:hint="eastAsia"/>
          <w:highlight w:val="green"/>
          <w:lang w:eastAsia="ko-KR"/>
        </w:rPr>
        <w:t>(H)</w:t>
      </w:r>
      <w:bookmarkEnd w:id="17"/>
    </w:p>
    <w:p w:rsidR="006D1F91" w:rsidRDefault="006D1F91" w:rsidP="006D1F91">
      <w:pPr>
        <w:pStyle w:val="a4"/>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 xml:space="preserve">e the first people working on this subject although there </w:t>
            </w:r>
            <w:proofErr w:type="gramStart"/>
            <w:r w:rsidR="008C55F1">
              <w:rPr>
                <w:rFonts w:hint="eastAsia"/>
                <w:lang w:val="en-US" w:eastAsia="ko-KR"/>
              </w:rPr>
              <w:t>exist</w:t>
            </w:r>
            <w:proofErr w:type="gramEnd"/>
            <w:r w:rsidR="008C55F1">
              <w:rPr>
                <w:rFonts w:hint="eastAsia"/>
                <w:lang w:val="en-US" w:eastAsia="ko-KR"/>
              </w:rPr>
              <w:t xml:space="preserve">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14"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w:t>
            </w:r>
            <w:r w:rsidR="00C223BC">
              <w:rPr>
                <w:rFonts w:hint="eastAsia"/>
                <w:lang w:val="en-US" w:eastAsia="ko-KR"/>
              </w:rPr>
              <w:lastRenderedPageBreak/>
              <w:t xml:space="preserve">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w:t>
            </w:r>
            <w:r w:rsidR="003026B3">
              <w:rPr>
                <w:rFonts w:hint="eastAsia"/>
                <w:lang w:val="en-US" w:eastAsia="ko-KR"/>
              </w:rPr>
              <w:t xml:space="preserve">project responsible, </w:t>
            </w:r>
            <w:proofErr w:type="spellStart"/>
            <w:r>
              <w:rPr>
                <w:rFonts w:hint="eastAsia"/>
                <w:lang w:val="en-US" w:eastAsia="ko-KR"/>
              </w:rPr>
              <w:t>Vasyl</w:t>
            </w:r>
            <w:proofErr w:type="spellEnd"/>
            <w:r>
              <w:rPr>
                <w:rFonts w:hint="eastAsia"/>
                <w:lang w:val="en-US" w:eastAsia="ko-KR"/>
              </w:rPr>
              <w:t xml:space="preserve">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 xml:space="preserve">Prof. Nadia </w:t>
            </w:r>
            <w:proofErr w:type="spellStart"/>
            <w:r w:rsidR="001827B8">
              <w:rPr>
                <w:rFonts w:hint="eastAsia"/>
                <w:lang w:val="en-US" w:eastAsia="ko-KR"/>
              </w:rPr>
              <w:t>Magnenat-Thalmann</w:t>
            </w:r>
            <w:proofErr w:type="spellEnd"/>
            <w:r w:rsidR="001827B8">
              <w:rPr>
                <w:rFonts w:hint="eastAsia"/>
                <w:lang w:val="en-US" w:eastAsia="ko-KR"/>
              </w:rPr>
              <w:t>)</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99589B" w:rsidRDefault="006D1F91" w:rsidP="006D1F91">
      <w:pPr>
        <w:pStyle w:val="a4"/>
        <w:rPr>
          <w:lang w:val="fr-FR" w:eastAsia="ko-KR"/>
        </w:rPr>
      </w:pPr>
      <w:r w:rsidRPr="0099589B">
        <w:rPr>
          <w:lang w:val="fr-FR"/>
        </w:rPr>
        <w:t>Commentaire</w:t>
      </w:r>
      <w:r w:rsidR="00531F1C" w:rsidRPr="0099589B">
        <w:rPr>
          <w:lang w:val="fr-FR"/>
        </w:rPr>
        <w:t>s</w:t>
      </w:r>
      <w:r w:rsidRPr="0099589B">
        <w:rPr>
          <w:lang w:val="fr-FR"/>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r w:rsidR="008F2620">
        <w:fldChar w:fldCharType="begin"/>
      </w:r>
      <w:r w:rsidR="008F2620" w:rsidRPr="00D81C8A">
        <w:rPr>
          <w:lang w:val="fr-FR"/>
        </w:rPr>
        <w:instrText>HYPERLINK "http://hal.archives-ouvertes.fr/"</w:instrText>
      </w:r>
      <w:r w:rsidR="008F2620">
        <w:fldChar w:fldCharType="separate"/>
      </w:r>
      <w:r w:rsidR="00BB6ABF" w:rsidRPr="00745D01">
        <w:rPr>
          <w:rStyle w:val="a5"/>
          <w:lang w:val="fr-FR"/>
        </w:rPr>
        <w:t>http://hal.archives-ouvertes.fr/</w:t>
      </w:r>
      <w:r w:rsidR="008F2620">
        <w:fldChar w:fldCharType="end"/>
      </w:r>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D81C8A"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D81C8A"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D81C8A"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D81C8A"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proofErr w:type="spellStart"/>
            <w:r>
              <w:rPr>
                <w:rFonts w:ascii="Verdana" w:hAnsi="Verdana"/>
                <w:sz w:val="16"/>
                <w:szCs w:val="16"/>
                <w:lang w:val="en-US"/>
              </w:rPr>
              <w:t>Mykhalchuk</w:t>
            </w:r>
            <w:proofErr w:type="spellEnd"/>
            <w:r>
              <w:rPr>
                <w:rFonts w:ascii="Verdana" w:hAnsi="Verdana"/>
                <w:sz w:val="16"/>
                <w:szCs w:val="16"/>
                <w:lang w:val="en-US"/>
              </w:rPr>
              <w:t xml:space="preserve"> V., </w:t>
            </w:r>
            <w:proofErr w:type="spellStart"/>
            <w:r>
              <w:rPr>
                <w:rFonts w:ascii="Verdana" w:hAnsi="Verdana"/>
                <w:sz w:val="16"/>
                <w:szCs w:val="16"/>
                <w:lang w:val="en-US"/>
              </w:rPr>
              <w:t>Cordier</w:t>
            </w:r>
            <w:proofErr w:type="spellEnd"/>
            <w:r>
              <w:rPr>
                <w:rFonts w:ascii="Verdana" w:hAnsi="Verdana"/>
                <w:sz w:val="16"/>
                <w:szCs w:val="16"/>
                <w:lang w:val="en-US"/>
              </w:rPr>
              <w:t xml:space="preserve"> F., </w:t>
            </w:r>
            <w:proofErr w:type="spellStart"/>
            <w:r>
              <w:rPr>
                <w:rFonts w:ascii="Verdana" w:hAnsi="Verdana"/>
                <w:sz w:val="16"/>
                <w:szCs w:val="16"/>
                <w:lang w:val="en-US"/>
              </w:rPr>
              <w:t>Seo</w:t>
            </w:r>
            <w:proofErr w:type="spellEnd"/>
            <w:r>
              <w:rPr>
                <w:rFonts w:ascii="Verdana" w:hAnsi="Verdana"/>
                <w:sz w:val="16"/>
                <w:szCs w:val="16"/>
                <w:lang w:val="en-US"/>
              </w:rPr>
              <w:t xml:space="preserve">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53481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w:t>
            </w:r>
            <w:proofErr w:type="gramStart"/>
            <w:r w:rsidRPr="00D128CF">
              <w:rPr>
                <w:rFonts w:ascii="Verdana" w:hAnsi="Verdana"/>
                <w:sz w:val="16"/>
                <w:szCs w:val="16"/>
                <w:lang w:val="en-US"/>
              </w:rPr>
              <w:t>F..</w:t>
            </w:r>
            <w:proofErr w:type="gramEnd"/>
            <w:r w:rsidRPr="00D128CF">
              <w:rPr>
                <w:rFonts w:ascii="Verdana" w:hAnsi="Verdana"/>
                <w:sz w:val="16"/>
                <w:szCs w:val="16"/>
                <w:lang w:val="en-US"/>
              </w:rPr>
              <w:t xml:space="preserve"> Temporal segmentation of deforming mesh. Pacific Graphics Short Papers. The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w:t>
            </w:r>
            <w:r w:rsidRPr="00913C86">
              <w:rPr>
                <w:rFonts w:ascii="Verdana" w:hAnsi="Verdana"/>
                <w:sz w:val="16"/>
                <w:szCs w:val="16"/>
                <w:lang w:val="en-US"/>
              </w:rPr>
              <w:t>. (</w:t>
            </w:r>
            <w:proofErr w:type="gramStart"/>
            <w:r w:rsidR="00534814" w:rsidRPr="00913C86">
              <w:rPr>
                <w:rFonts w:ascii="Verdana" w:hAnsi="Verdana"/>
                <w:sz w:val="16"/>
                <w:szCs w:val="16"/>
                <w:lang w:val="en-US"/>
              </w:rPr>
              <w:t>under</w:t>
            </w:r>
            <w:proofErr w:type="gramEnd"/>
            <w:r w:rsidR="00534814" w:rsidRPr="00913C86">
              <w:rPr>
                <w:rFonts w:ascii="Verdana" w:hAnsi="Verdana"/>
                <w:sz w:val="16"/>
                <w:szCs w:val="16"/>
                <w:lang w:val="en-US"/>
              </w:rPr>
              <w:t xml:space="preserve"> review</w:t>
            </w:r>
            <w:r w:rsidRPr="00913C86">
              <w:rPr>
                <w:rFonts w:ascii="Verdana" w:hAnsi="Verdana"/>
                <w:sz w:val="16"/>
                <w:szCs w:val="16"/>
                <w:lang w:val="en-US"/>
              </w:rPr>
              <w:t>).</w:t>
            </w:r>
          </w:p>
        </w:tc>
      </w:tr>
      <w:tr w:rsidR="004A5D29" w:rsidRPr="00D81C8A"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proofErr w:type="spellStart"/>
      <w:r>
        <w:t>logiciels</w:t>
      </w:r>
      <w:proofErr w:type="spellEnd"/>
      <w:r>
        <w:t xml:space="preserve"> et tout </w:t>
      </w:r>
      <w:proofErr w:type="spellStart"/>
      <w:r>
        <w:t>autre</w:t>
      </w:r>
      <w:proofErr w:type="spellEnd"/>
      <w:r>
        <w:t xml:space="preserv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D81C8A"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D81C8A"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D81C8A"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D81C8A" w:rsidRDefault="00D81C8A" w:rsidP="003234C8">
            <w:pPr>
              <w:pStyle w:val="ad"/>
              <w:numPr>
                <w:ilvl w:val="0"/>
                <w:numId w:val="50"/>
              </w:numPr>
              <w:jc w:val="left"/>
              <w:rPr>
                <w:rFonts w:ascii="Verdana" w:hAnsi="Verdana"/>
                <w:sz w:val="16"/>
                <w:szCs w:val="16"/>
                <w:lang w:val="fr-FR"/>
              </w:rPr>
            </w:pPr>
            <w:r w:rsidRPr="00D81C8A">
              <w:rPr>
                <w:rFonts w:ascii="Verdana" w:hAnsi="Verdana"/>
                <w:sz w:val="16"/>
                <w:szCs w:val="16"/>
                <w:lang w:val="fr-FR"/>
              </w:rPr>
              <w:t>Guoliang LUO, “</w:t>
            </w:r>
            <w:r>
              <w:rPr>
                <w:rFonts w:ascii="Verdana" w:hAnsi="Verdana"/>
                <w:sz w:val="16"/>
                <w:szCs w:val="16"/>
                <w:lang w:val="fr-FR"/>
              </w:rPr>
              <w:t>Spatio-temporal</w:t>
            </w:r>
            <w:r w:rsidRPr="00D81C8A">
              <w:rPr>
                <w:rFonts w:ascii="Verdana" w:hAnsi="Verdana"/>
                <w:sz w:val="16"/>
                <w:szCs w:val="16"/>
                <w:lang w:val="fr-FR"/>
              </w:rPr>
              <w:t xml:space="preserve"> segmentation </w:t>
            </w:r>
            <w:r>
              <w:rPr>
                <w:rFonts w:ascii="Verdana" w:hAnsi="Verdana"/>
                <w:sz w:val="16"/>
                <w:szCs w:val="16"/>
                <w:lang w:val="fr-FR"/>
              </w:rPr>
              <w:t>of mesh sequence</w:t>
            </w:r>
            <w:r w:rsidRPr="00D81C8A">
              <w:rPr>
                <w:rFonts w:ascii="Verdana" w:hAnsi="Verdana"/>
                <w:sz w:val="16"/>
                <w:szCs w:val="16"/>
                <w:lang w:val="fr-F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FC1063" w:rsidRPr="00FC1063" w:rsidRDefault="00FC1063" w:rsidP="00FC1063">
            <w:pPr>
              <w:pStyle w:val="ad"/>
              <w:numPr>
                <w:ilvl w:val="0"/>
                <w:numId w:val="50"/>
              </w:numPr>
              <w:jc w:val="left"/>
              <w:rPr>
                <w:rFonts w:ascii="Verdana" w:hAnsi="Verdana"/>
                <w:sz w:val="16"/>
                <w:szCs w:val="16"/>
                <w:lang w:val="fr-FR"/>
              </w:rPr>
            </w:pPr>
            <w:r>
              <w:rPr>
                <w:rFonts w:ascii="Verdana" w:hAnsi="Verdana"/>
                <w:sz w:val="16"/>
                <w:szCs w:val="16"/>
                <w:lang w:val="fr-FR"/>
              </w:rPr>
              <w:t xml:space="preserve">Vasyl </w:t>
            </w:r>
            <w:r w:rsidRPr="00FC1063">
              <w:rPr>
                <w:rFonts w:ascii="Verdana" w:hAnsi="Verdana"/>
                <w:sz w:val="16"/>
                <w:szCs w:val="16"/>
                <w:lang w:val="fr-FR"/>
              </w:rPr>
              <w:t>MYKHALCHUK</w:t>
            </w:r>
            <w:r w:rsidRPr="00D81C8A">
              <w:rPr>
                <w:rFonts w:ascii="Verdana" w:hAnsi="Verdana"/>
                <w:sz w:val="16"/>
                <w:szCs w:val="16"/>
                <w:lang w:val="fr-FR"/>
              </w:rPr>
              <w:t>, “</w:t>
            </w:r>
            <w:r>
              <w:rPr>
                <w:rFonts w:ascii="Verdana" w:hAnsi="Verdana"/>
                <w:sz w:val="16"/>
                <w:szCs w:val="16"/>
                <w:lang w:val="fr-FR"/>
              </w:rPr>
              <w:t>Surface registration : static and dynamic cases</w:t>
            </w:r>
            <w:r w:rsidRPr="00D81C8A">
              <w:rPr>
                <w:rFonts w:ascii="Verdana" w:hAnsi="Verdana"/>
                <w:sz w:val="16"/>
                <w:szCs w:val="16"/>
                <w:lang w:val="fr-FR"/>
              </w:rPr>
              <w:t xml:space="preserve"> ”</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9A727C" w:rsidRDefault="009A727C" w:rsidP="003234C8">
            <w:pPr>
              <w:pStyle w:val="ad"/>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“Compression of 3D mesh sequences by temporal segmentation”, presentation at CASA’13, Istanbul, Turkey, </w:t>
            </w:r>
            <w:proofErr w:type="gramStart"/>
            <w:r>
              <w:rPr>
                <w:rFonts w:ascii="Verdana" w:hAnsi="Verdana"/>
                <w:sz w:val="16"/>
                <w:szCs w:val="16"/>
                <w:lang w:val="en-US"/>
              </w:rPr>
              <w:t>May  2013</w:t>
            </w:r>
            <w:proofErr w:type="gramEnd"/>
            <w:r>
              <w:rPr>
                <w:rFonts w:ascii="Verdana" w:hAnsi="Verdana"/>
                <w:sz w:val="16"/>
                <w:szCs w:val="16"/>
                <w:lang w:val="en-US"/>
              </w:rPr>
              <w:t>.</w:t>
            </w:r>
          </w:p>
          <w:p w:rsidR="00612C34" w:rsidRDefault="009F7086"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proofErr w:type="gramStart"/>
            <w:r>
              <w:rPr>
                <w:rFonts w:ascii="Verdana" w:hAnsi="Verdana" w:hint="eastAsia"/>
                <w:sz w:val="16"/>
                <w:szCs w:val="16"/>
                <w:lang w:val="en-US" w:eastAsia="ko-KR"/>
              </w:rPr>
              <w:t>"</w:t>
            </w:r>
            <w:r w:rsidRPr="009F7086">
              <w:rPr>
                <w:rFonts w:ascii="Verdana" w:hAnsi="Verdana"/>
                <w:sz w:val="16"/>
                <w:szCs w:val="16"/>
                <w:lang w:val="en-US"/>
              </w:rPr>
              <w:t xml:space="preserve"> Shape</w:t>
            </w:r>
            <w:proofErr w:type="gramEnd"/>
            <w:r w:rsidRPr="009F7086">
              <w:rPr>
                <w:rFonts w:ascii="Verdana" w:hAnsi="Verdana"/>
                <w:sz w:val="16"/>
                <w:szCs w:val="16"/>
                <w:lang w:val="en-US"/>
              </w:rPr>
              <w:t xml:space="preserv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r w:rsidR="005545B3" w:rsidRPr="00D128CF">
              <w:rPr>
                <w:rFonts w:ascii="Verdana" w:hAnsi="Verdana" w:hint="eastAsia"/>
                <w:sz w:val="16"/>
                <w:szCs w:val="16"/>
                <w:lang w:val="en-US" w:eastAsia="ko-KR"/>
              </w:rPr>
              <w:t>june</w:t>
            </w:r>
            <w:proofErr w:type="spellEnd"/>
            <w:r w:rsidR="005545B3" w:rsidRPr="00D128CF">
              <w:rPr>
                <w:rFonts w:ascii="Verdana" w:hAnsi="Verdana" w:hint="eastAsia"/>
                <w:sz w:val="16"/>
                <w:szCs w:val="16"/>
                <w:lang w:val="en-US" w:eastAsia="ko-KR"/>
              </w:rPr>
              <w:t xml:space="preserve"> 2013.</w:t>
            </w:r>
          </w:p>
          <w:p w:rsidR="00745D01" w:rsidRDefault="00745D01" w:rsidP="003234C8">
            <w:pPr>
              <w:pStyle w:val="ad"/>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proofErr w:type="gramStart"/>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w:t>
            </w:r>
            <w:proofErr w:type="gramEnd"/>
            <w:r w:rsidRPr="00D128CF">
              <w:rPr>
                <w:rFonts w:ascii="Verdana" w:hAnsi="Verdana"/>
                <w:sz w:val="16"/>
                <w:szCs w:val="16"/>
                <w:lang w:val="en-US" w:eastAsia="ko-KR"/>
              </w:rPr>
              <w:t>-spatial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rsidR="00F75323" w:rsidRDefault="00F75323" w:rsidP="00F75323">
            <w:pPr>
              <w:pStyle w:val="ad"/>
              <w:numPr>
                <w:ilvl w:val="0"/>
                <w:numId w:val="50"/>
              </w:numPr>
              <w:jc w:val="left"/>
              <w:rPr>
                <w:rFonts w:ascii="Verdana" w:hAnsi="Verdana"/>
                <w:sz w:val="16"/>
                <w:szCs w:val="16"/>
                <w:lang w:val="en-US"/>
              </w:rPr>
            </w:pPr>
            <w:proofErr w:type="spellStart"/>
            <w:r>
              <w:rPr>
                <w:rFonts w:ascii="Verdana" w:hAnsi="Verdana"/>
                <w:sz w:val="16"/>
                <w:szCs w:val="16"/>
                <w:lang w:val="en-US" w:eastAsia="ko-KR"/>
              </w:rPr>
              <w:t>Vasyl</w:t>
            </w:r>
            <w:proofErr w:type="spellEnd"/>
            <w:r>
              <w:rPr>
                <w:rFonts w:ascii="Verdana" w:hAnsi="Verdana"/>
                <w:sz w:val="16"/>
                <w:szCs w:val="16"/>
                <w:lang w:val="en-US" w:eastAsia="ko-KR"/>
              </w:rPr>
              <w:t xml:space="preserve"> </w:t>
            </w:r>
            <w:proofErr w:type="spellStart"/>
            <w:r>
              <w:rPr>
                <w:rFonts w:ascii="Verdana" w:hAnsi="Verdana"/>
                <w:sz w:val="16"/>
                <w:szCs w:val="16"/>
                <w:lang w:val="en-US" w:eastAsia="ko-KR"/>
              </w:rPr>
              <w:t>Mykhalchuk</w:t>
            </w:r>
            <w:proofErr w:type="spellEnd"/>
            <w:r>
              <w:rPr>
                <w:rFonts w:ascii="Verdana" w:hAnsi="Verdana"/>
                <w:sz w:val="16"/>
                <w:szCs w:val="16"/>
                <w:lang w:val="en-US" w:eastAsia="ko-KR"/>
              </w:rPr>
              <w:t xml:space="preserve">, “Landmark transfer with minimal graph”,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YYY : </w:t>
            </w:r>
            <w:proofErr w:type="spellStart"/>
            <w:r>
              <w:rPr>
                <w:rFonts w:ascii="Verdana" w:hAnsi="Verdana"/>
                <w:sz w:val="18"/>
                <w:szCs w:val="18"/>
              </w:rPr>
              <w:t>yyy</w:t>
            </w:r>
            <w:proofErr w:type="spellEnd"/>
            <w:r>
              <w:rPr>
                <w:rFonts w:ascii="Verdana" w:hAnsi="Verdana"/>
                <w:sz w:val="18"/>
                <w:szCs w:val="18"/>
              </w:rPr>
              <w:t xml:space="preserve">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r w:rsidRPr="005806B6">
              <w:rPr>
                <w:rFonts w:ascii="Verdana" w:hAnsi="Verdana"/>
                <w:color w:val="003366"/>
                <w:sz w:val="16"/>
                <w:szCs w:val="16"/>
              </w:rPr>
              <w:t>exemples</w:t>
            </w:r>
            <w:proofErr w:type="spell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proofErr w:type="spell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A02FC8" w:rsidRPr="006247C5"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 xml:space="preserve">Ex :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 xml:space="preserve">Ex :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293672"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prof</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Poste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 xml:space="preserve">Aide pour le </w:t>
      </w:r>
      <w:proofErr w:type="spellStart"/>
      <w:r>
        <w:t>remplissage</w:t>
      </w:r>
      <w:proofErr w:type="spellEnd"/>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1" w:name="_Toc358726674"/>
      <w:proofErr w:type="spellStart"/>
      <w:r>
        <w:t>État</w:t>
      </w:r>
      <w:proofErr w:type="spellEnd"/>
      <w:r>
        <w:t xml:space="preserve"> financier</w:t>
      </w:r>
      <w:r w:rsidR="00DA007B">
        <w:t xml:space="preserve"> </w:t>
      </w:r>
      <w:r w:rsidR="006D5825" w:rsidRPr="00A14939">
        <w:rPr>
          <w:highlight w:val="cyan"/>
        </w:rPr>
        <w:t>(V)</w:t>
      </w:r>
      <w:bookmarkEnd w:id="91"/>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proofErr w:type="spellStart"/>
            <w:r w:rsidR="00584DF6" w:rsidRPr="00584DF6">
              <w:rPr>
                <w:rFonts w:ascii="Verdana" w:hAnsi="Verdana"/>
                <w:sz w:val="18"/>
                <w:szCs w:val="18"/>
              </w:rPr>
              <w:t>Université</w:t>
            </w:r>
            <w:proofErr w:type="spellEnd"/>
            <w:r w:rsidR="00584DF6" w:rsidRPr="00584DF6">
              <w:rPr>
                <w:rFonts w:ascii="Verdana" w:hAnsi="Verdana"/>
                <w:sz w:val="18"/>
                <w:szCs w:val="18"/>
              </w:rPr>
              <w:t xml:space="preserve">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proofErr w:type="spellStart"/>
            <w:r w:rsidRPr="00AA5F87">
              <w:rPr>
                <w:rFonts w:ascii="Verdana" w:hAnsi="Verdana"/>
                <w:sz w:val="18"/>
                <w:szCs w:val="18"/>
                <w:highlight w:val="yellow"/>
              </w:rPr>
              <w:t>Université</w:t>
            </w:r>
            <w:proofErr w:type="spellEnd"/>
            <w:r w:rsidRPr="00AA5F87">
              <w:rPr>
                <w:rFonts w:ascii="Verdana" w:hAnsi="Verdana"/>
                <w:sz w:val="18"/>
                <w:szCs w:val="18"/>
                <w:highlight w:val="yellow"/>
              </w:rPr>
              <w:t xml:space="preserve">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proofErr w:type="gramStart"/>
      <w:r>
        <w:t xml:space="preserve">Annexes </w:t>
      </w:r>
      <w:r w:rsidR="00CD395F">
        <w:rPr>
          <w:rFonts w:hint="eastAsia"/>
          <w:lang w:eastAsia="ko-KR"/>
        </w:rPr>
        <w:t xml:space="preserve"> </w:t>
      </w:r>
      <w:r w:rsidR="00CD395F" w:rsidRPr="00D73D41">
        <w:rPr>
          <w:rFonts w:hint="eastAsia"/>
          <w:highlight w:val="cyan"/>
          <w:lang w:eastAsia="ko-KR"/>
        </w:rPr>
        <w:t>(</w:t>
      </w:r>
      <w:proofErr w:type="gramEnd"/>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5"/>
      <w:headerReference w:type="first" r:id="rId16"/>
      <w:footerReference w:type="first" r:id="rId17"/>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C03" w:rsidRDefault="006A6C03" w:rsidP="00C621F0">
      <w:r>
        <w:separator/>
      </w:r>
    </w:p>
  </w:endnote>
  <w:endnote w:type="continuationSeparator" w:id="0">
    <w:p w:rsidR="006A6C03" w:rsidRDefault="006A6C03"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Batang"/>
    <w:panose1 w:val="020B0503020000020004"/>
    <w:charset w:val="81"/>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Pr="00812433" w:rsidRDefault="00BF70CB" w:rsidP="00195664">
    <w:pPr>
      <w:pStyle w:val="a7"/>
      <w:jc w:val="left"/>
      <w:rPr>
        <w:rFonts w:ascii="Verdana" w:hAnsi="Verdana"/>
      </w:rPr>
    </w:pPr>
    <w:proofErr w:type="spellStart"/>
    <w:r w:rsidRPr="00731F1E">
      <w:rPr>
        <w:rStyle w:val="a8"/>
        <w:rFonts w:ascii="Verdana" w:hAnsi="Verdana"/>
        <w:i/>
        <w:color w:val="808080"/>
        <w:sz w:val="14"/>
        <w:szCs w:val="14"/>
      </w:rPr>
      <w:t>Référence</w:t>
    </w:r>
    <w:proofErr w:type="spellEnd"/>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w:t>
    </w:r>
    <w:proofErr w:type="spellStart"/>
    <w:proofErr w:type="gramStart"/>
    <w:r w:rsidRPr="00731F1E">
      <w:rPr>
        <w:rStyle w:val="a8"/>
        <w:rFonts w:ascii="Verdana" w:hAnsi="Verdana"/>
        <w:i/>
        <w:color w:val="808080"/>
        <w:sz w:val="14"/>
        <w:szCs w:val="14"/>
      </w:rPr>
      <w:t>formulaire</w:t>
    </w:r>
    <w:proofErr w:type="spellEnd"/>
    <w:r w:rsidRPr="00731F1E">
      <w:rPr>
        <w:rStyle w:val="a8"/>
        <w:rFonts w:ascii="Verdana" w:hAnsi="Verdana"/>
        <w:i/>
        <w:color w:val="808080"/>
        <w:sz w:val="14"/>
        <w:szCs w:val="14"/>
      </w:rPr>
      <w:t> :</w:t>
    </w:r>
    <w:proofErr w:type="gramEnd"/>
    <w:r w:rsidRPr="00731F1E">
      <w:rPr>
        <w:rStyle w:val="a8"/>
        <w:rFonts w:ascii="Verdana" w:hAnsi="Verdana"/>
        <w:i/>
        <w:color w:val="808080"/>
        <w:sz w:val="14"/>
        <w:szCs w:val="14"/>
      </w:rPr>
      <w:t xml:space="preserve">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8F2620"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8F2620" w:rsidRPr="00812433">
      <w:rPr>
        <w:rStyle w:val="a8"/>
        <w:rFonts w:ascii="Verdana" w:hAnsi="Verdana"/>
        <w:sz w:val="18"/>
        <w:szCs w:val="18"/>
      </w:rPr>
      <w:fldChar w:fldCharType="separate"/>
    </w:r>
    <w:r w:rsidR="00FC1063">
      <w:rPr>
        <w:rStyle w:val="a8"/>
        <w:rFonts w:ascii="Verdana" w:hAnsi="Verdana"/>
        <w:noProof/>
        <w:sz w:val="18"/>
        <w:szCs w:val="18"/>
      </w:rPr>
      <w:t>9</w:t>
    </w:r>
    <w:r w:rsidR="008F2620" w:rsidRPr="00812433">
      <w:rPr>
        <w:rStyle w:val="a8"/>
        <w:rFonts w:ascii="Verdana" w:hAnsi="Verdana"/>
        <w:sz w:val="18"/>
        <w:szCs w:val="18"/>
      </w:rPr>
      <w:fldChar w:fldCharType="end"/>
    </w:r>
    <w:r w:rsidRPr="00812433">
      <w:rPr>
        <w:rFonts w:ascii="Verdana" w:hAnsi="Verdana"/>
        <w:sz w:val="18"/>
        <w:szCs w:val="18"/>
      </w:rPr>
      <w:t>/</w:t>
    </w:r>
    <w:r w:rsidR="008F2620"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8F2620" w:rsidRPr="00812433">
      <w:rPr>
        <w:rStyle w:val="a8"/>
        <w:rFonts w:ascii="Verdana" w:hAnsi="Verdana"/>
        <w:sz w:val="18"/>
        <w:szCs w:val="18"/>
      </w:rPr>
      <w:fldChar w:fldCharType="separate"/>
    </w:r>
    <w:r w:rsidR="00FC1063">
      <w:rPr>
        <w:rStyle w:val="a8"/>
        <w:rFonts w:ascii="Verdana" w:hAnsi="Verdana"/>
        <w:noProof/>
        <w:sz w:val="18"/>
        <w:szCs w:val="18"/>
      </w:rPr>
      <w:t>10</w:t>
    </w:r>
    <w:r w:rsidR="008F2620"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Default="00BF70CB"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BF70CB" w:rsidRPr="00745D01" w:rsidRDefault="00BF70CB"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C03" w:rsidRDefault="006A6C03" w:rsidP="00C621F0">
      <w:r>
        <w:separator/>
      </w:r>
    </w:p>
  </w:footnote>
  <w:footnote w:type="continuationSeparator" w:id="0">
    <w:p w:rsidR="006A6C03" w:rsidRDefault="006A6C03"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BF70CB" w:rsidTr="00257ED4">
      <w:trPr>
        <w:trHeight w:val="415"/>
      </w:trPr>
      <w:tc>
        <w:tcPr>
          <w:tcW w:w="2808" w:type="dxa"/>
          <w:vMerge w:val="restart"/>
          <w:shd w:val="clear" w:color="auto" w:fill="auto"/>
        </w:tcPr>
        <w:p w:rsidR="00BF70CB" w:rsidRDefault="00BF70CB">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BF70CB" w:rsidRPr="008C4FA2" w:rsidRDefault="00BF70CB" w:rsidP="009039AE">
          <w:pPr>
            <w:pStyle w:val="a6"/>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BF70CB" w:rsidTr="00257ED4">
      <w:trPr>
        <w:trHeight w:val="415"/>
      </w:trPr>
      <w:tc>
        <w:tcPr>
          <w:tcW w:w="2808" w:type="dxa"/>
          <w:vMerge/>
          <w:shd w:val="clear" w:color="auto" w:fill="auto"/>
        </w:tcPr>
        <w:p w:rsidR="00BF70CB" w:rsidRPr="00D42A33" w:rsidRDefault="00BF70CB">
          <w:pPr>
            <w:pStyle w:val="a6"/>
          </w:pPr>
        </w:p>
      </w:tc>
      <w:tc>
        <w:tcPr>
          <w:tcW w:w="6939" w:type="dxa"/>
          <w:vMerge/>
          <w:shd w:val="clear" w:color="auto" w:fill="auto"/>
        </w:tcPr>
        <w:p w:rsidR="00BF70CB" w:rsidRPr="008C4FA2" w:rsidRDefault="00BF70CB" w:rsidP="008C4FA2">
          <w:pPr>
            <w:pStyle w:val="a6"/>
            <w:jc w:val="center"/>
            <w:rPr>
              <w:rFonts w:ascii="Verdana" w:hAnsi="Verdana" w:cs="Arial"/>
              <w:b/>
              <w:color w:val="003366"/>
              <w:sz w:val="40"/>
              <w:szCs w:val="40"/>
            </w:rPr>
          </w:pPr>
        </w:p>
      </w:tc>
    </w:tr>
    <w:tr w:rsidR="00BF70CB" w:rsidTr="00257ED4">
      <w:trPr>
        <w:trHeight w:val="415"/>
      </w:trPr>
      <w:tc>
        <w:tcPr>
          <w:tcW w:w="2808" w:type="dxa"/>
          <w:vMerge/>
          <w:shd w:val="clear" w:color="auto" w:fill="auto"/>
        </w:tcPr>
        <w:p w:rsidR="00BF70CB" w:rsidRPr="00D42A33" w:rsidRDefault="00BF70CB">
          <w:pPr>
            <w:pStyle w:val="a6"/>
          </w:pPr>
        </w:p>
      </w:tc>
      <w:tc>
        <w:tcPr>
          <w:tcW w:w="6939" w:type="dxa"/>
          <w:vMerge/>
          <w:shd w:val="clear" w:color="auto" w:fill="auto"/>
        </w:tcPr>
        <w:p w:rsidR="00BF70CB" w:rsidRPr="008C4FA2" w:rsidRDefault="00BF70CB" w:rsidP="008C4FA2">
          <w:pPr>
            <w:pStyle w:val="a6"/>
            <w:jc w:val="center"/>
            <w:rPr>
              <w:rFonts w:ascii="Verdana" w:hAnsi="Verdana" w:cs="Arial"/>
              <w:b/>
              <w:color w:val="003366"/>
              <w:sz w:val="40"/>
              <w:szCs w:val="40"/>
            </w:rPr>
          </w:pPr>
        </w:p>
      </w:tc>
    </w:tr>
  </w:tbl>
  <w:p w:rsidR="00BF70CB" w:rsidRDefault="00BF70C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462A"/>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C7C4F"/>
    <w:rsid w:val="000D516F"/>
    <w:rsid w:val="000D56CC"/>
    <w:rsid w:val="000D6FF4"/>
    <w:rsid w:val="000E0827"/>
    <w:rsid w:val="000E3664"/>
    <w:rsid w:val="000E40C6"/>
    <w:rsid w:val="000E40F7"/>
    <w:rsid w:val="000E71D4"/>
    <w:rsid w:val="000F5A10"/>
    <w:rsid w:val="000F680A"/>
    <w:rsid w:val="0010343C"/>
    <w:rsid w:val="00103874"/>
    <w:rsid w:val="00110A0B"/>
    <w:rsid w:val="00111840"/>
    <w:rsid w:val="00111E35"/>
    <w:rsid w:val="00113B5B"/>
    <w:rsid w:val="00114DFA"/>
    <w:rsid w:val="00115A96"/>
    <w:rsid w:val="001161E8"/>
    <w:rsid w:val="0012400E"/>
    <w:rsid w:val="00125053"/>
    <w:rsid w:val="00126CD0"/>
    <w:rsid w:val="00127484"/>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681"/>
    <w:rsid w:val="001B5BD6"/>
    <w:rsid w:val="001B701C"/>
    <w:rsid w:val="001B7BAE"/>
    <w:rsid w:val="001C111F"/>
    <w:rsid w:val="001C194E"/>
    <w:rsid w:val="001C6DA0"/>
    <w:rsid w:val="001D07AC"/>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25CA0"/>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402A"/>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A55"/>
    <w:rsid w:val="00394474"/>
    <w:rsid w:val="0039462A"/>
    <w:rsid w:val="003A038B"/>
    <w:rsid w:val="003A2308"/>
    <w:rsid w:val="003A25BB"/>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3776"/>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9729E"/>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C630A"/>
    <w:rsid w:val="004D1763"/>
    <w:rsid w:val="004D2B39"/>
    <w:rsid w:val="004D6F6F"/>
    <w:rsid w:val="004D7722"/>
    <w:rsid w:val="004E0232"/>
    <w:rsid w:val="004E6C3E"/>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698"/>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903"/>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6B6A"/>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C03"/>
    <w:rsid w:val="006A6F1A"/>
    <w:rsid w:val="006B32FE"/>
    <w:rsid w:val="006B5367"/>
    <w:rsid w:val="006B6645"/>
    <w:rsid w:val="006C0D7B"/>
    <w:rsid w:val="006C3468"/>
    <w:rsid w:val="006C6683"/>
    <w:rsid w:val="006D1972"/>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479C"/>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43B9"/>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2620"/>
    <w:rsid w:val="008F360A"/>
    <w:rsid w:val="008F3D2A"/>
    <w:rsid w:val="008F7471"/>
    <w:rsid w:val="0090098C"/>
    <w:rsid w:val="0090222D"/>
    <w:rsid w:val="009039AE"/>
    <w:rsid w:val="00904A99"/>
    <w:rsid w:val="009052C5"/>
    <w:rsid w:val="0090658F"/>
    <w:rsid w:val="00906DC5"/>
    <w:rsid w:val="00913C86"/>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0800"/>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40F61"/>
    <w:rsid w:val="00B417EB"/>
    <w:rsid w:val="00B43FC6"/>
    <w:rsid w:val="00B440B6"/>
    <w:rsid w:val="00B454EE"/>
    <w:rsid w:val="00B517A3"/>
    <w:rsid w:val="00B600BB"/>
    <w:rsid w:val="00B61011"/>
    <w:rsid w:val="00B62BED"/>
    <w:rsid w:val="00B65056"/>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D41"/>
    <w:rsid w:val="00D758C3"/>
    <w:rsid w:val="00D76011"/>
    <w:rsid w:val="00D76117"/>
    <w:rsid w:val="00D76CCE"/>
    <w:rsid w:val="00D76DEA"/>
    <w:rsid w:val="00D77945"/>
    <w:rsid w:val="00D800B0"/>
    <w:rsid w:val="00D81C8A"/>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C797B"/>
    <w:rsid w:val="00ED0963"/>
    <w:rsid w:val="00ED173B"/>
    <w:rsid w:val="00ED28FD"/>
    <w:rsid w:val="00ED3C0D"/>
    <w:rsid w:val="00ED7D16"/>
    <w:rsid w:val="00EE0834"/>
    <w:rsid w:val="00EE174F"/>
    <w:rsid w:val="00EE4C1F"/>
    <w:rsid w:val="00EE4F1B"/>
    <w:rsid w:val="00EE753E"/>
    <w:rsid w:val="00EF043E"/>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22DB"/>
    <w:rsid w:val="00FB3B97"/>
    <w:rsid w:val="00FC1063"/>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ml.kaist.ac.k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eople.csail.mit.edu/sumner/research/deftransfer/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85B5-EF8C-4952-91F6-ED7394A9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10</Pages>
  <Words>4703</Words>
  <Characters>25867</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30509</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162</cp:revision>
  <cp:lastPrinted>2011-06-09T09:14:00Z</cp:lastPrinted>
  <dcterms:created xsi:type="dcterms:W3CDTF">2013-06-11T13:12:00Z</dcterms:created>
  <dcterms:modified xsi:type="dcterms:W3CDTF">2013-06-14T07:03:00Z</dcterms:modified>
</cp:coreProperties>
</file>