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723" w:firstLineChars="100"/>
        <w:jc w:val="both"/>
        <w:rPr>
          <w:rFonts w:ascii="宋体" w:hAnsi="Times New Roman" w:eastAsia="宋体" w:cs="Times New Roman"/>
          <w:b/>
          <w:bCs/>
          <w:sz w:val="72"/>
          <w:szCs w:val="72"/>
        </w:rPr>
      </w:pPr>
      <w:bookmarkStart w:id="0" w:name="_GoBack"/>
      <w:bookmarkEnd w:id="0"/>
      <w:r>
        <w:rPr>
          <w:rFonts w:hint="eastAsia" w:ascii="宋体" w:hAnsi="Times New Roman" w:eastAsia="宋体" w:cs="Times New Roman"/>
          <w:b/>
          <w:bCs/>
          <w:sz w:val="72"/>
          <w:szCs w:val="72"/>
          <w:lang w:val="en-US" w:eastAsia="zh-CN"/>
        </w:rPr>
        <w:t>医学超声技术课程</w:t>
      </w:r>
      <w:r>
        <w:rPr>
          <w:rFonts w:hint="eastAsia" w:ascii="宋体" w:hAnsi="Times New Roman" w:eastAsia="宋体" w:cs="Times New Roman"/>
          <w:b/>
          <w:bCs/>
          <w:sz w:val="72"/>
          <w:szCs w:val="72"/>
        </w:rPr>
        <w:t>报告</w:t>
      </w:r>
    </w:p>
    <w:p>
      <w:pPr>
        <w:snapToGrid w:val="0"/>
        <w:rPr>
          <w:rFonts w:ascii="宋体" w:hAnsi="Times New Roman" w:eastAsia="宋体" w:cs="Times New Roman"/>
          <w:b/>
          <w:bCs/>
          <w:sz w:val="28"/>
        </w:rPr>
      </w:pPr>
    </w:p>
    <w:p>
      <w:pPr>
        <w:snapToGrid w:val="0"/>
        <w:rPr>
          <w:rFonts w:ascii="宋体" w:hAnsi="Times New Roman" w:eastAsia="宋体" w:cs="Times New Roman"/>
          <w:b/>
          <w:bCs/>
          <w:sz w:val="28"/>
        </w:rPr>
      </w:pPr>
    </w:p>
    <w:p>
      <w:pPr>
        <w:snapToGrid w:val="0"/>
        <w:rPr>
          <w:rFonts w:ascii="宋体" w:hAnsi="Times New Roman" w:eastAsia="宋体" w:cs="Times New Roman"/>
          <w:b/>
          <w:bCs/>
          <w:sz w:val="28"/>
        </w:rPr>
      </w:pPr>
    </w:p>
    <w:p>
      <w:pPr>
        <w:snapToGrid w:val="0"/>
        <w:jc w:val="center"/>
        <w:rPr>
          <w:rFonts w:ascii="宋体" w:hAnsi="Times New Roman" w:eastAsia="宋体" w:cs="Times New Roman"/>
          <w:b/>
          <w:bCs/>
          <w:sz w:val="28"/>
        </w:rPr>
      </w:pPr>
    </w:p>
    <w:p>
      <w:pPr>
        <w:snapToGrid w:val="0"/>
        <w:jc w:val="center"/>
        <w:rPr>
          <w:rFonts w:hint="eastAsia" w:ascii="Times New Roman" w:hAnsi="Times New Roman" w:eastAsia="宋体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sz w:val="48"/>
          <w:szCs w:val="48"/>
          <w:lang w:val="en-US" w:eastAsia="zh-CN"/>
        </w:rPr>
        <w:t>超声波在介质中的传播模拟</w:t>
      </w:r>
    </w:p>
    <w:p>
      <w:pPr>
        <w:snapToGrid w:val="0"/>
        <w:jc w:val="center"/>
        <w:rPr>
          <w:rFonts w:ascii="宋体" w:hAnsi="Times New Roman" w:eastAsia="宋体" w:cs="Times New Roman"/>
          <w:b/>
          <w:bCs/>
          <w:sz w:val="44"/>
          <w:szCs w:val="44"/>
        </w:rPr>
      </w:pPr>
    </w:p>
    <w:p>
      <w:pPr>
        <w:snapToGrid w:val="0"/>
        <w:rPr>
          <w:rFonts w:ascii="宋体" w:hAnsi="Times New Roman" w:eastAsia="宋体" w:cs="Times New Roman"/>
          <w:b/>
          <w:bCs/>
          <w:sz w:val="28"/>
        </w:rPr>
      </w:pPr>
    </w:p>
    <w:p>
      <w:pPr>
        <w:snapToGrid w:val="0"/>
        <w:jc w:val="center"/>
        <w:rPr>
          <w:rFonts w:ascii="宋体" w:hAnsi="Times New Roman" w:eastAsia="宋体" w:cs="Times New Roman"/>
          <w:b/>
          <w:bCs/>
          <w:sz w:val="28"/>
        </w:rPr>
      </w:pPr>
      <w:r>
        <w:rPr>
          <w:rFonts w:ascii="宋体" w:hAnsi="Times New Roman" w:eastAsia="宋体" w:cs="Times New Roman"/>
          <w:b/>
          <w:bCs/>
          <w:sz w:val="28"/>
        </w:rPr>
        <w:drawing>
          <wp:inline distT="0" distB="0" distL="0" distR="0">
            <wp:extent cx="1673860" cy="216662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54" cy="22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0" w:beforeAutospacing="0" w:after="0" w:afterAutospacing="0" w:line="360" w:lineRule="auto"/>
        <w:ind w:left="1680" w:firstLine="420"/>
        <w:jc w:val="left"/>
        <w:rPr>
          <w:rFonts w:ascii="宋体" w:hAnsi="宋体" w:eastAsia="宋体" w:cs="宋体"/>
          <w:kern w:val="0"/>
          <w:sz w:val="30"/>
          <w:szCs w:val="30"/>
          <w:lang w:val="en-US" w:eastAsia="zh-CN" w:bidi="ar-SA"/>
        </w:rPr>
      </w:pPr>
    </w:p>
    <w:p>
      <w:pPr>
        <w:widowControl/>
        <w:spacing w:before="0" w:beforeAutospacing="0" w:after="0" w:afterAutospacing="0" w:line="360" w:lineRule="auto"/>
        <w:ind w:left="1680" w:firstLine="420"/>
        <w:jc w:val="left"/>
        <w:rPr>
          <w:rFonts w:hint="eastAsia" w:ascii="宋体" w:hAnsi="宋体" w:eastAsia="宋体" w:cs="Times New Roman"/>
          <w:b/>
          <w:bCs/>
          <w:kern w:val="44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44"/>
          <w:sz w:val="36"/>
          <w:szCs w:val="36"/>
          <w:lang w:val="en-US" w:eastAsia="zh-CN" w:bidi="ar-SA"/>
        </w:rPr>
        <w:t xml:space="preserve">指导教师：     余锦华    </w:t>
      </w:r>
    </w:p>
    <w:p>
      <w:pPr>
        <w:widowControl/>
        <w:spacing w:before="0" w:beforeAutospacing="0" w:after="0" w:afterAutospacing="0" w:line="360" w:lineRule="auto"/>
        <w:ind w:left="1680" w:firstLine="420"/>
        <w:jc w:val="left"/>
        <w:rPr>
          <w:rFonts w:hint="eastAsia" w:ascii="宋体" w:hAnsi="宋体" w:eastAsia="宋体" w:cs="Times New Roman"/>
          <w:b/>
          <w:bCs/>
          <w:kern w:val="44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44"/>
          <w:sz w:val="36"/>
          <w:szCs w:val="36"/>
          <w:lang w:val="en-US" w:eastAsia="zh-CN" w:bidi="ar-SA"/>
        </w:rPr>
        <w:t xml:space="preserve">学生姓名：     沈钰      </w:t>
      </w:r>
    </w:p>
    <w:p>
      <w:pPr>
        <w:widowControl/>
        <w:spacing w:before="0" w:beforeAutospacing="0" w:after="0" w:afterAutospacing="0" w:line="360" w:lineRule="auto"/>
        <w:ind w:left="1680" w:firstLine="420"/>
        <w:jc w:val="left"/>
        <w:rPr>
          <w:rFonts w:hint="eastAsia" w:ascii="宋体" w:hAnsi="宋体" w:eastAsia="宋体" w:cs="Times New Roman"/>
          <w:b/>
          <w:bCs/>
          <w:kern w:val="44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44"/>
          <w:sz w:val="36"/>
          <w:szCs w:val="36"/>
          <w:lang w:val="en-US" w:eastAsia="zh-CN" w:bidi="ar-SA"/>
        </w:rPr>
        <w:t xml:space="preserve">学    号：   21307130028 </w:t>
      </w:r>
    </w:p>
    <w:p>
      <w:pPr>
        <w:widowControl/>
        <w:spacing w:before="0" w:beforeAutospacing="0" w:after="0" w:afterAutospacing="0" w:line="360" w:lineRule="auto"/>
        <w:ind w:left="1680" w:firstLine="420"/>
        <w:jc w:val="left"/>
        <w:rPr>
          <w:rFonts w:ascii="宋体" w:hAnsi="宋体" w:eastAsia="宋体" w:cs="宋体"/>
          <w:kern w:val="0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kern w:val="44"/>
          <w:sz w:val="36"/>
          <w:szCs w:val="36"/>
          <w:lang w:val="en-US" w:eastAsia="zh-CN" w:bidi="ar-SA"/>
        </w:rPr>
        <w:t>专    业：   生物医学工程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30"/>
          <w:szCs w:val="30"/>
        </w:rPr>
        <w:t xml:space="preserve">   </w:t>
      </w:r>
      <w:r>
        <w:rPr>
          <w:rFonts w:hint="eastAsia" w:ascii="宋体" w:hAnsi="宋体" w:eastAsia="宋体" w:cs="Times New Roman"/>
          <w:b/>
          <w:bCs/>
          <w:sz w:val="30"/>
          <w:szCs w:val="30"/>
        </w:rPr>
        <w:tab/>
      </w:r>
      <w:r>
        <w:rPr>
          <w:rFonts w:hint="eastAsia" w:ascii="宋体" w:hAnsi="宋体" w:eastAsia="宋体" w:cs="Times New Roman"/>
          <w:b/>
          <w:bCs/>
          <w:sz w:val="30"/>
          <w:szCs w:val="30"/>
        </w:rPr>
        <w:tab/>
      </w:r>
      <w:r>
        <w:rPr>
          <w:rFonts w:hint="eastAsia" w:ascii="宋体" w:hAnsi="宋体" w:eastAsia="宋体" w:cs="Times New Roman"/>
          <w:b/>
          <w:bCs/>
          <w:sz w:val="30"/>
          <w:szCs w:val="30"/>
        </w:rPr>
        <w:tab/>
      </w:r>
      <w:r>
        <w:rPr>
          <w:rFonts w:hint="eastAsia" w:ascii="宋体" w:hAnsi="宋体" w:eastAsia="宋体" w:cs="Times New Roman"/>
          <w:b/>
          <w:bCs/>
          <w:sz w:val="30"/>
          <w:szCs w:val="30"/>
        </w:rPr>
        <w:tab/>
      </w:r>
      <w:r>
        <w:rPr>
          <w:rFonts w:ascii="宋体" w:hAnsi="Times New Roman" w:eastAsia="宋体" w:cs="Times New Roman"/>
          <w:b/>
          <w:bCs/>
          <w:sz w:val="28"/>
        </w:rPr>
        <w:br w:type="page"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目   录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一维超声波传播仿真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求解一维波动方程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边界条件的探索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不同介质面的反射与折射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衰减的模拟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问题与讨论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二维超声波传播仿真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求解二维波动方程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穿过不同介质发生的情况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换能器声场的模拟与接收成像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p/>
    <w:p/>
    <w:p/>
    <w:p/>
    <w:p/>
    <w:p/>
    <w:p/>
    <w:p/>
    <w:p/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一、一维超声波传播仿真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求解一维波动方程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波动方程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声波可以被视为压力波，它们在介质中传播时伴随着密度和压力的变化。声波的传播可以用连续性方程和动量守恒方程（也称为欧拉方程）描述。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连续性方程描述了质量守恒，可表示为：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2021205</wp:posOffset>
            </wp:positionH>
            <wp:positionV relativeFrom="paragraph">
              <wp:posOffset>93345</wp:posOffset>
            </wp:positionV>
            <wp:extent cx="1367790" cy="422910"/>
            <wp:effectExtent l="0" t="0" r="381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其中，ρ 是密度，u 是流体速度</w:t>
      </w:r>
      <w:r>
        <w:rPr>
          <w:rFonts w:hint="eastAsia"/>
          <w:lang w:val="en-US" w:eastAsia="zh-CN"/>
        </w:rPr>
        <w:t>，t是时间</w:t>
      </w:r>
      <w:r>
        <w:rPr>
          <w:rFonts w:hint="default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动量守恒方程描述了在没有外力作用的情况下，流体元素动量的变化，可表示为：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1682750</wp:posOffset>
            </wp:positionH>
            <wp:positionV relativeFrom="paragraph">
              <wp:posOffset>38100</wp:posOffset>
            </wp:positionV>
            <wp:extent cx="1925320" cy="433070"/>
            <wp:effectExtent l="0" t="0" r="5080" b="1143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其中，p是压力。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在处理超声波时，通常假设波动引起的密度和压力变化相对于静态值非常小。这使得可以对上述方程进行线性化简化，只保留一阶项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通过假设介质是不可压缩的和各向同性的，可以引入声速c的概念，声速定义为：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2126615</wp:posOffset>
            </wp:positionH>
            <wp:positionV relativeFrom="paragraph">
              <wp:posOffset>18415</wp:posOffset>
            </wp:positionV>
            <wp:extent cx="875665" cy="490220"/>
            <wp:effectExtent l="0" t="0" r="635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将线性化和声速的概念应用到动量守恒方程和连续性方程中，可以通过消去速度和压力，得到关于压力的波动方程：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1953260</wp:posOffset>
            </wp:positionH>
            <wp:positionV relativeFrom="paragraph">
              <wp:posOffset>85725</wp:posOffset>
            </wp:positionV>
            <wp:extent cx="1357630" cy="506095"/>
            <wp:effectExtent l="0" t="0" r="1270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在推导超声波动方程时有以下假设和近似：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①小振幅近似：假设声波引起的密度和压力变化非常小，忽略了振幅较大时的非线性效应。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②理想流体假设：假设介质无粘性和不可压缩。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③均匀介质假设：假设介质的物理性质（如密度和声速）在传播区域内是均匀的，而实际介质可能存在不均匀性。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④各向同性假设：认为介质在所有方向上的物理性质相同，忽略了各向异性介质中声波的复杂行为。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⑤忽略外力作用：在动力方程中没有考虑外部力的影响，如重力或电磁力。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⑥稳态假设：有时假设系统处于稳定状态，不考虑随时间变化的效应。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FTDT二阶中心差分求解</w:t>
      </w:r>
    </w:p>
    <w:p>
      <w:pPr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FTDT (Finite-Difference Time-Domain) 方法是一种通过时间域内的有限差分技术</w:t>
      </w:r>
      <w:r>
        <w:rPr>
          <w:rFonts w:hint="eastAsia"/>
          <w:lang w:val="en-US" w:eastAsia="zh-CN"/>
        </w:rPr>
        <w:t>。在本项目中，我使用了二阶中心差分的方法求数值解。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二阶中心差分的方法是将f(x)分别在(x+Δx)和(x-Δx)展开，前向和后向展开结果：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15875</wp:posOffset>
            </wp:positionV>
            <wp:extent cx="4639310" cy="431800"/>
            <wp:effectExtent l="0" t="0" r="8890" b="0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15875</wp:posOffset>
            </wp:positionV>
            <wp:extent cx="4605020" cy="371475"/>
            <wp:effectExtent l="0" t="0" r="5080" b="9525"/>
            <wp:wrapNone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将上面的两个泰勒展开式相加，以消除一阶导数项和所有奇数次项</w:t>
      </w:r>
      <w:r>
        <w:rPr>
          <w:rFonts w:hint="eastAsia"/>
          <w:lang w:val="en-US" w:eastAsia="zh-CN"/>
        </w:rPr>
        <w:t>，可推出二阶导数的近似值：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8255</wp:posOffset>
            </wp:positionV>
            <wp:extent cx="2689860" cy="370205"/>
            <wp:effectExtent l="0" t="0" r="2540" b="10795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其局部截断误差是 O((Δx)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）。</w:t>
      </w:r>
      <w:r>
        <w:rPr>
          <w:rFonts w:hint="eastAsia"/>
          <w:lang w:val="en-US" w:eastAsia="zh-CN"/>
        </w:rPr>
        <w:t>其中高阶O((Δx)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）</w:t>
      </w:r>
      <w:r>
        <w:rPr>
          <w:rFonts w:hint="eastAsia"/>
          <w:lang w:val="en-US" w:eastAsia="zh-CN"/>
        </w:rPr>
        <w:t>的小量被忽略。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将该方法应用于一维的超声波动方程：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1917700</wp:posOffset>
            </wp:positionH>
            <wp:positionV relativeFrom="paragraph">
              <wp:posOffset>166370</wp:posOffset>
            </wp:positionV>
            <wp:extent cx="1116330" cy="354330"/>
            <wp:effectExtent l="0" t="0" r="1270" b="1270"/>
            <wp:wrapNone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412115</wp:posOffset>
            </wp:positionH>
            <wp:positionV relativeFrom="paragraph">
              <wp:posOffset>300355</wp:posOffset>
            </wp:positionV>
            <wp:extent cx="4414520" cy="312420"/>
            <wp:effectExtent l="0" t="0" r="5080" b="5080"/>
            <wp:wrapNone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得到：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2792730</wp:posOffset>
            </wp:positionH>
            <wp:positionV relativeFrom="paragraph">
              <wp:posOffset>411480</wp:posOffset>
            </wp:positionV>
            <wp:extent cx="2715895" cy="249555"/>
            <wp:effectExtent l="0" t="0" r="1905" b="4445"/>
            <wp:wrapNone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整理后，可以推导出下一个时间步的波动方程解：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15875</wp:posOffset>
            </wp:positionV>
            <wp:extent cx="2606675" cy="207010"/>
            <wp:effectExtent l="0" t="0" r="9525" b="8890"/>
            <wp:wrapNone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这个公式基本展示了波的传播和反射的数值模拟过程。每个时间步的解依赖于其前一时间步的解以及相邻空间点的解。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这种方法的稳定性和精确性依赖于时间步长 Δt 和空间步长 Δz 的选择，通常要求满足CFL条件（Courant-Friedrichs-Lewy条件），即：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96520</wp:posOffset>
            </wp:positionV>
            <wp:extent cx="729615" cy="276225"/>
            <wp:effectExtent l="0" t="0" r="6985" b="3175"/>
            <wp:wrapNone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matlab仿真求解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首先设定声场的参数和波源参数，需要注意满足CFL条件：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声场参数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wave_speed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波速,km/s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空间长度,mm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时间长度,ns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空间网格数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时间网格数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空间步长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时间步长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零初始化P域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波源参数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振幅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omega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角频率,1e6 rad/s</w:t>
      </w:r>
    </w:p>
    <w:p>
      <w:pPr>
        <w:tabs>
          <w:tab w:val="left" w:pos="46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4669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压力场P(n,m),设定n为空间索引（z=n*dz),m为时间索引(t=m*dt),则可以表示二阶差分的数值解。遍历每一个时间步，并在时间步中更新所有空间步，从而迭代出波动方程的解。在最场的左边设置波源，为正弦函数的半周期。</w:t>
      </w:r>
    </w:p>
    <w:p>
      <w:pPr>
        <w:tabs>
          <w:tab w:val="left" w:pos="4669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时间迭代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omega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左边界（波源）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空间迭代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wave_speed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firstLine="1760" w:firstLineChars="1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  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绘制波动图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ylim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'LineStyle'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在x=600处画一条线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drawnow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strcmpi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gcf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'currentkey'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按下q键退出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Close the figure and exit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gcf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tabs>
          <w:tab w:val="left" w:pos="4669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运行结果是这个半周期的正弦波从波源开始向右传播。</w:t>
      </w:r>
    </w:p>
    <w:p>
      <w:pPr>
        <w:tabs>
          <w:tab w:val="left" w:pos="46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2737485</wp:posOffset>
            </wp:positionH>
            <wp:positionV relativeFrom="paragraph">
              <wp:posOffset>104140</wp:posOffset>
            </wp:positionV>
            <wp:extent cx="1953260" cy="822960"/>
            <wp:effectExtent l="0" t="0" r="2540" b="2540"/>
            <wp:wrapNone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rcRect t="22768" r="13325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78740</wp:posOffset>
            </wp:positionV>
            <wp:extent cx="2021205" cy="916305"/>
            <wp:effectExtent l="0" t="0" r="10795" b="10795"/>
            <wp:wrapNone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rcRect t="27742" r="16710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466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66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46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tabs>
          <w:tab w:val="left" w:pos="466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669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边界条件的探索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由于发现该声波传播到边界时会发生相位相反的全反射，因此探索了三种常见的边界条件。我们将n=600对应的空间设置为边界，来探索不同边界条件的影响。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1.默认边界所满足的狄利克雷条件</w:t>
      </w:r>
    </w:p>
    <w:p>
      <w:pPr>
        <w:ind w:left="210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73660</wp:posOffset>
            </wp:positionV>
            <wp:extent cx="908685" cy="413385"/>
            <wp:effectExtent l="0" t="0" r="5715" b="5715"/>
            <wp:wrapNone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其中f(t) 和 g(t) 是给定的函数，P 是解函数，0 和 L 是边界的位置。这种条件通常用于固定边界的情况，比如固定端弦的振动。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将界面处的声压设置恒为0，并加入迭代过程：</w:t>
      </w:r>
    </w:p>
    <w:p>
      <w:pPr>
        <w:ind w:firstLine="42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%探究狄利克雷边界条件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时间迭代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omega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左边界（波源）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空间迭代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边界条件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z=6设定右边界，狄利克雷边界条件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left="1760" w:hanging="1760" w:hangingChars="1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wave_speed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得到其在边界处会发生反相的全反射。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2618105</wp:posOffset>
            </wp:positionH>
            <wp:positionV relativeFrom="paragraph">
              <wp:posOffset>115570</wp:posOffset>
            </wp:positionV>
            <wp:extent cx="1863725" cy="550545"/>
            <wp:effectExtent l="0" t="0" r="3175" b="8255"/>
            <wp:wrapNone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165100</wp:posOffset>
            </wp:positionV>
            <wp:extent cx="1898015" cy="521970"/>
            <wp:effectExtent l="0" t="0" r="6985" b="11430"/>
            <wp:wrapNone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rcRect r="1320" b="3085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2.诺伊曼条件 (Neumann Condition)，第二类边界条件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诺伊曼条件规定了边界上函数的导数，通常关联到物理问题中的通量，比如热通量或质量流。对于波动方程，诺伊曼条件</w:t>
      </w:r>
      <w:r>
        <w:rPr>
          <w:rFonts w:hint="eastAsia"/>
          <w:lang w:val="en-US" w:eastAsia="zh-CN"/>
        </w:rPr>
        <w:t>用于</w:t>
      </w:r>
      <w:r>
        <w:rPr>
          <w:rFonts w:hint="default"/>
          <w:lang w:val="en-US" w:eastAsia="zh-CN"/>
        </w:rPr>
        <w:t>指定边界上导数的值。例如：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90805</wp:posOffset>
            </wp:positionV>
            <wp:extent cx="960120" cy="498475"/>
            <wp:effectExtent l="0" t="0" r="5080" b="9525"/>
            <wp:wrapNone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这表示在边界z=0 和z=L 处，波的导数（即斜率）为零</w:t>
      </w:r>
      <w:r>
        <w:rPr>
          <w:rFonts w:hint="eastAsia"/>
          <w:lang w:val="en-US" w:eastAsia="zh-CN"/>
        </w:rPr>
        <w:t>。加入迭代过程：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时间迭代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omega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左边界（波源）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空间迭代    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z=6设定右边界，第二类边界条件 ∂P/∂z(L,t) = 0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ind w:left="1760" w:hanging="1760" w:hangingChars="1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wave_speed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));       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1537335</wp:posOffset>
            </wp:positionH>
            <wp:positionV relativeFrom="paragraph">
              <wp:posOffset>73025</wp:posOffset>
            </wp:positionV>
            <wp:extent cx="1969770" cy="505460"/>
            <wp:effectExtent l="0" t="0" r="11430" b="2540"/>
            <wp:wrapNone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rcRect b="36000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1502410</wp:posOffset>
            </wp:positionH>
            <wp:positionV relativeFrom="paragraph">
              <wp:posOffset>80645</wp:posOffset>
            </wp:positionV>
            <wp:extent cx="2077720" cy="502920"/>
            <wp:effectExtent l="0" t="0" r="5080" b="5080"/>
            <wp:wrapNone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rcRect l="2429" b="-1408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1479550</wp:posOffset>
            </wp:positionH>
            <wp:positionV relativeFrom="paragraph">
              <wp:posOffset>71755</wp:posOffset>
            </wp:positionV>
            <wp:extent cx="2032000" cy="551815"/>
            <wp:effectExtent l="0" t="0" r="0" b="6985"/>
            <wp:wrapNone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结果表明诺伊曼条件的结果是让波进行全反射，但相位不变。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3.辐射边界条件（（Radiation Boundary Condition）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辐射边界条件是一种用于波动方程的边界处理技术，旨在模拟波从计算区域自由出入而不产生任何人为的反射。这种条件尝试确保波在边界处可以无阻碍地“辐射”出去，模拟无限或半无限空间的物理行为。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在数值求解波动方程时，常见的辐射边界条件形式是: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69850</wp:posOffset>
            </wp:positionV>
            <wp:extent cx="1893570" cy="315595"/>
            <wp:effectExtent l="0" t="0" r="11430" b="1905"/>
            <wp:wrapNone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这里c是波速，L是边界的位置。这个条件确保在边界L处，由于∂P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∂z的值与波的时间变化率相抵消，因此不会产生反射。这样的边界处理允许波以c的速度自然传出边界。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辐射边界条件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时间迭代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omega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左边界（波源）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空间迭代，截止到界面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更新内部点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wave_speed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一阶吸收边界条件，适用于右边界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假设从索引600开始到边界是需要吸收的区域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在这里实施辐射边界条件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wave_speed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施加到迭代中，并把压力场迭代的范围截止到界面，运行结果：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149860</wp:posOffset>
            </wp:positionV>
            <wp:extent cx="2907030" cy="581660"/>
            <wp:effectExtent l="0" t="0" r="1270" b="2540"/>
            <wp:wrapNone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运行结果：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1055370</wp:posOffset>
            </wp:positionH>
            <wp:positionV relativeFrom="paragraph">
              <wp:posOffset>191135</wp:posOffset>
            </wp:positionV>
            <wp:extent cx="2821305" cy="571500"/>
            <wp:effectExtent l="0" t="0" r="10795" b="0"/>
            <wp:wrapNone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rcRect t="19459" b="12740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21590</wp:posOffset>
            </wp:positionV>
            <wp:extent cx="2635885" cy="625475"/>
            <wp:effectExtent l="0" t="0" r="5715" b="9525"/>
            <wp:wrapNone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可以看到在界面处，声波仿佛被“完全吸收”。其实该边界相当于让波“通过了”它，这个边界条件在后面的仿真中有重要作用，可以避免边界反射回波带来的干扰。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不同介质面的反射与折射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超声波在不同介质中的传播特</w:t>
      </w:r>
      <w:r>
        <w:rPr>
          <w:rFonts w:hint="eastAsia"/>
          <w:lang w:val="en-US" w:eastAsia="zh-CN"/>
        </w:rPr>
        <w:t>中，</w:t>
      </w:r>
      <w:r>
        <w:rPr>
          <w:rFonts w:hint="default"/>
          <w:lang w:val="en-US" w:eastAsia="zh-CN"/>
        </w:rPr>
        <w:t>折射和反射行为至关重要。当超声波遇到两种不同声阻抗的介质界面时，部分声波会被反射回原介质，另一部分则会透射进入新介质。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声阻抗是描述材料对声波传播阻力的物理量，数学表达为：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2261870</wp:posOffset>
            </wp:positionH>
            <wp:positionV relativeFrom="paragraph">
              <wp:posOffset>6985</wp:posOffset>
            </wp:positionV>
            <wp:extent cx="540385" cy="243840"/>
            <wp:effectExtent l="0" t="0" r="5715" b="10160"/>
            <wp:wrapNone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声压反射系数为：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14605</wp:posOffset>
            </wp:positionV>
            <wp:extent cx="1143000" cy="270510"/>
            <wp:effectExtent l="0" t="0" r="0" b="8890"/>
            <wp:wrapNone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其中，Pr是反射声波的声压振幅，Pi是入射声波的声压振幅，Z1和 Z2分别是第一种和第二种介质的声阻抗。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98425</wp:posOffset>
            </wp:positionV>
            <wp:extent cx="1207135" cy="310515"/>
            <wp:effectExtent l="0" t="0" r="12065" b="6985"/>
            <wp:wrapNone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声压透射系数为：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其中，Pt是透射声波的声压振幅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假设组织内不同介质密度相近（后面会分析原因），因此声阻抗的差异主要来自于不同介质下声速的不同。因此，在界面的右边设定为具有不同声速的另一种介质，并根据界面位置分情况进行迭代。改变声速的同时，需注意满足CFL条件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首先，我们使c1=1，c2=0.5(km/s)，这表明入射介质具有更大的声速以及声阻抗。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介质1波速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介质2波速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左边界处设置波源，持续时间0.5秒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omega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简化波源模型为 p0 * sin(ωt)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%599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interface_position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介质1内的波动方程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介质2内的波动方程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右边界,一阶吸收边界条件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space_grid_num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end</w:t>
      </w:r>
    </w:p>
    <w:p>
      <w:pPr>
        <w:bidi w:val="0"/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664845</wp:posOffset>
            </wp:positionH>
            <wp:positionV relativeFrom="paragraph">
              <wp:posOffset>246380</wp:posOffset>
            </wp:positionV>
            <wp:extent cx="3455670" cy="728980"/>
            <wp:effectExtent l="0" t="0" r="0" b="0"/>
            <wp:wrapNone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rcRect r="9164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并用寻峰函数追踪振幅的变化，结果如下：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668020</wp:posOffset>
            </wp:positionH>
            <wp:positionV relativeFrom="paragraph">
              <wp:posOffset>72390</wp:posOffset>
            </wp:positionV>
            <wp:extent cx="3473450" cy="575945"/>
            <wp:effectExtent l="0" t="0" r="6350" b="8255"/>
            <wp:wrapNone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波传播到界面处同时发生了反射和折射，反射波和透射波的幅值均变小，反射波反相。经计算理论的反射系数是(-1/3)，透射系数是(2/3)，模拟的结果与之较为接近，但有一定误差（尤其是在第二个介质）。此外，注意到发生反射和透射后，波的形状出现略微的皱褶和起伏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接下来将c2赋值为1.5m/s,并将时间网格数从1000增加到1500以满足CFL条件。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time_grid_num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时间网格数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介质1波速</w:t>
      </w:r>
    </w:p>
    <w:p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% 介质2波速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100330</wp:posOffset>
            </wp:positionV>
            <wp:extent cx="3611880" cy="609600"/>
            <wp:effectExtent l="0" t="0" r="0" b="0"/>
            <wp:wrapNone/>
            <wp:docPr id="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rcRect r="8613" b="1214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56515</wp:posOffset>
            </wp:positionV>
            <wp:extent cx="3607435" cy="553720"/>
            <wp:effectExtent l="0" t="0" r="12065" b="5080"/>
            <wp:wrapNone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rcRect l="2187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理论计算的反射系数是0.2，透射系数是1.2，模拟结果与理论接近。同样具有有一定的误差，且声波在传播过程中有明显的小皱褶。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分析原因，应该是与CFL≠1有关。这将在之后进行深入讨论。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衰减的模拟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213D0"/>
    <w:multiLevelType w:val="multilevel"/>
    <w:tmpl w:val="D86213D0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zZWZkYjUyN2M0NTBjYWRhMjNlOWY2YjZkOTkyODIifQ=="/>
  </w:docVars>
  <w:rsids>
    <w:rsidRoot w:val="00000000"/>
    <w:rsid w:val="08485B98"/>
    <w:rsid w:val="08561FDD"/>
    <w:rsid w:val="189C77CA"/>
    <w:rsid w:val="1BD04127"/>
    <w:rsid w:val="26FB22FC"/>
    <w:rsid w:val="340F3E18"/>
    <w:rsid w:val="35AD4532"/>
    <w:rsid w:val="380227E7"/>
    <w:rsid w:val="41B45A71"/>
    <w:rsid w:val="5F012E2E"/>
    <w:rsid w:val="6B527803"/>
    <w:rsid w:val="7E8B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autoRedefine/>
    <w:qFormat/>
    <w:uiPriority w:val="9"/>
    <w:pPr>
      <w:keepNext/>
      <w:keepLines/>
      <w:numPr>
        <w:ilvl w:val="0"/>
        <w:numId w:val="1"/>
      </w:numPr>
      <w:spacing w:before="50" w:beforeLines="50" w:line="288" w:lineRule="auto"/>
      <w:outlineLvl w:val="0"/>
    </w:pPr>
    <w:rPr>
      <w:rFonts w:eastAsia="黑体" w:asciiTheme="majorEastAsia" w:hAnsiTheme="majorEastAsia" w:cstheme="minorBidi"/>
      <w:b/>
      <w:bCs/>
      <w:kern w:val="44"/>
      <w:sz w:val="40"/>
      <w:szCs w:val="18"/>
      <w:lang w:val="en-US" w:eastAsia="zh-CN" w:bidi="ar-SA"/>
    </w:rPr>
  </w:style>
  <w:style w:type="paragraph" w:styleId="3">
    <w:name w:val="heading 2"/>
    <w:next w:val="1"/>
    <w:autoRedefine/>
    <w:unhideWhenUsed/>
    <w:qFormat/>
    <w:uiPriority w:val="9"/>
    <w:pPr>
      <w:numPr>
        <w:ilvl w:val="1"/>
        <w:numId w:val="1"/>
      </w:numPr>
      <w:tabs>
        <w:tab w:val="left" w:pos="0"/>
      </w:tabs>
      <w:spacing w:before="156" w:after="156"/>
      <w:ind w:left="0" w:firstLine="0"/>
      <w:outlineLvl w:val="1"/>
    </w:pPr>
    <w:rPr>
      <w:rFonts w:ascii="Arial" w:hAnsi="Arial" w:eastAsia="黑体" w:cstheme="minorBidi"/>
      <w:b/>
      <w:kern w:val="2"/>
      <w:sz w:val="32"/>
      <w:lang w:val="en-US" w:eastAsia="zh-CN" w:bidi="ar-SA"/>
    </w:rPr>
  </w:style>
  <w:style w:type="paragraph" w:styleId="4">
    <w:name w:val="heading 3"/>
    <w:next w:val="1"/>
    <w:autoRedefine/>
    <w:unhideWhenUsed/>
    <w:qFormat/>
    <w:uiPriority w:val="9"/>
    <w:pPr>
      <w:numPr>
        <w:ilvl w:val="2"/>
        <w:numId w:val="1"/>
      </w:numPr>
      <w:tabs>
        <w:tab w:val="left" w:pos="312"/>
      </w:tabs>
      <w:ind w:left="0" w:firstLine="400"/>
      <w:outlineLvl w:val="2"/>
    </w:pPr>
    <w:rPr>
      <w:rFonts w:ascii="Arial" w:hAnsi="Arial" w:eastAsia="黑体" w:cstheme="minorBidi"/>
      <w:b/>
      <w:kern w:val="2"/>
      <w:sz w:val="30"/>
      <w:szCs w:val="30"/>
      <w:lang w:val="en-US" w:eastAsia="zh-CN" w:bidi="ar-SA"/>
    </w:rPr>
  </w:style>
  <w:style w:type="paragraph" w:styleId="5">
    <w:name w:val="heading 4"/>
    <w:next w:val="1"/>
    <w:autoRedefine/>
    <w:unhideWhenUsed/>
    <w:qFormat/>
    <w:uiPriority w:val="9"/>
    <w:pPr>
      <w:numPr>
        <w:ilvl w:val="3"/>
        <w:numId w:val="1"/>
      </w:numPr>
      <w:ind w:left="0" w:firstLine="402"/>
      <w:outlineLvl w:val="3"/>
    </w:pPr>
    <w:rPr>
      <w:rFonts w:ascii="Arial" w:hAnsi="Arial" w:eastAsia="黑体" w:cstheme="minorBidi"/>
      <w:b/>
      <w:sz w:val="28"/>
      <w:lang w:val="en-US" w:eastAsia="zh-CN" w:bidi="ar-SA"/>
    </w:rPr>
  </w:style>
  <w:style w:type="paragraph" w:styleId="6">
    <w:name w:val="heading 5"/>
    <w:next w:val="1"/>
    <w:autoRedefine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ind w:left="0" w:firstLine="402"/>
      <w:outlineLvl w:val="4"/>
    </w:pPr>
    <w:rPr>
      <w:rFonts w:ascii="Arial" w:hAnsi="Arial" w:eastAsiaTheme="majorEastAsia" w:cstheme="minorBidi"/>
      <w:b/>
      <w:sz w:val="24"/>
      <w:szCs w:val="22"/>
      <w:lang w:val="en-US" w:eastAsia="zh-CN" w:bidi="ar-SA"/>
    </w:rPr>
  </w:style>
  <w:style w:type="paragraph" w:styleId="7">
    <w:name w:val="heading 6"/>
    <w:next w:val="1"/>
    <w:autoRedefine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0" w:firstLine="402"/>
      <w:outlineLvl w:val="5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8">
    <w:name w:val="heading 7"/>
    <w:next w:val="1"/>
    <w:autoRedefine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0" w:firstLine="402"/>
      <w:outlineLvl w:val="6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9">
    <w:name w:val="heading 8"/>
    <w:next w:val="1"/>
    <w:autoRedefine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0" w:firstLine="402"/>
      <w:outlineLvl w:val="7"/>
    </w:pPr>
    <w:rPr>
      <w:rFonts w:eastAsia="黑体" w:asciiTheme="majorAscii" w:hAnsiTheme="majorAscii" w:cstheme="majorBidi"/>
      <w:b/>
      <w:sz w:val="24"/>
      <w:lang w:val="en-US" w:eastAsia="zh-CN" w:bidi="ar-SA"/>
    </w:rPr>
  </w:style>
  <w:style w:type="paragraph" w:styleId="10">
    <w:name w:val="heading 9"/>
    <w:next w:val="1"/>
    <w:autoRedefine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0" w:firstLine="402"/>
      <w:outlineLvl w:val="8"/>
    </w:pPr>
    <w:rPr>
      <w:rFonts w:eastAsia="黑体" w:asciiTheme="majorAscii" w:hAnsiTheme="majorAscii" w:cstheme="majorBidi"/>
      <w:b/>
      <w:sz w:val="24"/>
      <w:szCs w:val="21"/>
      <w:lang w:val="en-US" w:eastAsia="zh-CN" w:bidi="ar-SA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autoRedefine/>
    <w:qFormat/>
    <w:uiPriority w:val="0"/>
    <w:pPr>
      <w:spacing w:before="12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2">
    <w:name w:val="Title"/>
    <w:basedOn w:val="1"/>
    <w:autoRedefine/>
    <w:qFormat/>
    <w:uiPriority w:val="10"/>
    <w:pPr>
      <w:spacing w:line="240" w:lineRule="auto"/>
      <w:ind w:firstLine="0" w:firstLineChars="0"/>
      <w:jc w:val="center"/>
      <w:outlineLvl w:val="0"/>
    </w:pPr>
    <w:rPr>
      <w:rFonts w:asciiTheme="majorEastAsia" w:hAnsiTheme="majorEastAsia"/>
      <w:b/>
      <w:sz w:val="52"/>
      <w:szCs w:val="44"/>
    </w:rPr>
  </w:style>
  <w:style w:type="character" w:styleId="15">
    <w:name w:val="Strong"/>
    <w:basedOn w:val="14"/>
    <w:autoRedefine/>
    <w:qFormat/>
    <w:uiPriority w:val="22"/>
    <w:rPr>
      <w:rFonts w:ascii="Arial" w:hAnsi="Arial" w:eastAsia="黑体"/>
      <w:b/>
      <w:color w:val="auto"/>
      <w:u w:val="single"/>
    </w:rPr>
  </w:style>
  <w:style w:type="character" w:styleId="16">
    <w:name w:val="Emphasis"/>
    <w:basedOn w:val="14"/>
    <w:autoRedefine/>
    <w:qFormat/>
    <w:uiPriority w:val="20"/>
    <w:rPr>
      <w:rFonts w:ascii="Arial" w:hAnsi="Arial" w:eastAsia="黑体"/>
      <w:b/>
      <w:bCs/>
      <w:i/>
      <w:color w:val="auto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2024-05-07T14:26:00Z</dcterms:created>
  <dc:creator>Mike Shen</dc:creator>
  <cp:lastModifiedBy>沈钰</cp:lastModifiedBy>
  <dcterms:modified xsi:type="dcterms:W3CDTF">2024-05-17T14:31:53Z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5D0AF0565A2246BA89B7DF7896A6AF80_13</vt:lpwstr>
  </property>
</Properties>
</file>