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7F0C8" w14:textId="77777777" w:rsidR="00DE2555" w:rsidRPr="005E3278" w:rsidRDefault="00DE2555" w:rsidP="005E3278">
      <w:pPr>
        <w:jc w:val="center"/>
        <w:rPr>
          <w:sz w:val="32"/>
          <w:szCs w:val="32"/>
        </w:rPr>
      </w:pPr>
    </w:p>
    <w:p w14:paraId="6CD34E83" w14:textId="20B22043" w:rsidR="005E3278" w:rsidRPr="005E3278" w:rsidRDefault="005E3278" w:rsidP="005E3278">
      <w:pPr>
        <w:jc w:val="center"/>
        <w:rPr>
          <w:sz w:val="32"/>
          <w:szCs w:val="32"/>
          <w:lang w:val="es-CL"/>
        </w:rPr>
      </w:pPr>
      <w:r w:rsidRPr="005E3278">
        <w:rPr>
          <w:sz w:val="32"/>
          <w:szCs w:val="32"/>
          <w:lang w:val="es-CL"/>
        </w:rPr>
        <w:t xml:space="preserve">Informe Situación Evaluativa </w:t>
      </w:r>
      <w:r w:rsidR="00D65E75">
        <w:rPr>
          <w:sz w:val="32"/>
          <w:szCs w:val="32"/>
          <w:lang w:val="es-CL"/>
        </w:rPr>
        <w:t>3</w:t>
      </w:r>
      <w:r w:rsidRPr="005E3278">
        <w:rPr>
          <w:sz w:val="32"/>
          <w:szCs w:val="32"/>
          <w:lang w:val="es-CL"/>
        </w:rPr>
        <w:t xml:space="preserve">: </w:t>
      </w:r>
      <w:proofErr w:type="spellStart"/>
      <w:r w:rsidRPr="005E3278">
        <w:rPr>
          <w:sz w:val="32"/>
          <w:szCs w:val="32"/>
          <w:lang w:val="es-CL"/>
        </w:rPr>
        <w:t>EduTech</w:t>
      </w:r>
      <w:proofErr w:type="spellEnd"/>
      <w:r w:rsidRPr="005E3278">
        <w:rPr>
          <w:sz w:val="32"/>
          <w:szCs w:val="32"/>
          <w:lang w:val="es-CL"/>
        </w:rPr>
        <w:t xml:space="preserve"> </w:t>
      </w:r>
      <w:proofErr w:type="spellStart"/>
      <w:r w:rsidRPr="005E3278">
        <w:rPr>
          <w:sz w:val="32"/>
          <w:szCs w:val="32"/>
          <w:lang w:val="es-CL"/>
        </w:rPr>
        <w:t>Innovators</w:t>
      </w:r>
      <w:proofErr w:type="spellEnd"/>
      <w:r w:rsidRPr="005E3278">
        <w:rPr>
          <w:sz w:val="32"/>
          <w:szCs w:val="32"/>
          <w:lang w:val="es-CL"/>
        </w:rPr>
        <w:t xml:space="preserve"> SPA</w:t>
      </w:r>
    </w:p>
    <w:p w14:paraId="5F1D3000" w14:textId="62E79AC7" w:rsidR="005E3278" w:rsidRPr="005E3278" w:rsidRDefault="005E3278" w:rsidP="005E3278">
      <w:pPr>
        <w:jc w:val="center"/>
        <w:rPr>
          <w:sz w:val="32"/>
          <w:szCs w:val="32"/>
          <w:lang w:val="es-CL"/>
        </w:rPr>
      </w:pPr>
      <w:r>
        <w:rPr>
          <w:noProof/>
        </w:rPr>
        <w:drawing>
          <wp:inline distT="0" distB="0" distL="0" distR="0" wp14:anchorId="1315FCBB" wp14:editId="11DB4D6E">
            <wp:extent cx="5400040" cy="3599815"/>
            <wp:effectExtent l="0" t="0" r="0" b="635"/>
            <wp:docPr id="1520827343" name="image2.png" descr="Interfaz de usuario gráfica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27343" name="image2.png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E3278">
        <w:rPr>
          <w:sz w:val="32"/>
          <w:szCs w:val="32"/>
          <w:lang w:val="es-CL"/>
        </w:rPr>
        <w:t xml:space="preserve">Experiencia </w:t>
      </w:r>
      <w:r w:rsidR="00D65E75">
        <w:rPr>
          <w:sz w:val="32"/>
          <w:szCs w:val="32"/>
          <w:lang w:val="es-CL"/>
        </w:rPr>
        <w:t>3</w:t>
      </w:r>
      <w:r w:rsidRPr="005E3278">
        <w:rPr>
          <w:sz w:val="32"/>
          <w:szCs w:val="32"/>
          <w:lang w:val="es-CL"/>
        </w:rPr>
        <w:t xml:space="preserve"> – Desarrollo y Operación de Microservicios</w:t>
      </w:r>
    </w:p>
    <w:p w14:paraId="7DC75A65" w14:textId="77777777" w:rsidR="005E3278" w:rsidRPr="005E3278" w:rsidRDefault="005E3278" w:rsidP="005E3278">
      <w:pPr>
        <w:jc w:val="center"/>
        <w:rPr>
          <w:sz w:val="32"/>
          <w:szCs w:val="32"/>
          <w:lang w:val="es-CL"/>
        </w:rPr>
      </w:pPr>
    </w:p>
    <w:p w14:paraId="63E3D232" w14:textId="77777777" w:rsidR="005E3278" w:rsidRPr="005E3278" w:rsidRDefault="005E3278" w:rsidP="005E3278">
      <w:pPr>
        <w:jc w:val="center"/>
        <w:rPr>
          <w:sz w:val="32"/>
          <w:szCs w:val="32"/>
          <w:lang w:val="es-CL"/>
        </w:rPr>
      </w:pPr>
      <w:r w:rsidRPr="005E3278">
        <w:rPr>
          <w:sz w:val="32"/>
          <w:szCs w:val="32"/>
          <w:lang w:val="es-CL"/>
        </w:rPr>
        <w:t>Benjamín Torrejón Soto – Alejandra Reyes Duque</w:t>
      </w:r>
    </w:p>
    <w:p w14:paraId="3603AB98" w14:textId="77777777" w:rsidR="005E3278" w:rsidRPr="005E3278" w:rsidRDefault="005E3278" w:rsidP="005E3278">
      <w:pPr>
        <w:jc w:val="center"/>
        <w:rPr>
          <w:sz w:val="32"/>
          <w:szCs w:val="32"/>
          <w:lang w:val="es-CL"/>
        </w:rPr>
      </w:pPr>
    </w:p>
    <w:p w14:paraId="45DAC17B" w14:textId="77777777" w:rsidR="005E3278" w:rsidRPr="005E3278" w:rsidRDefault="005E3278" w:rsidP="005E3278">
      <w:pPr>
        <w:jc w:val="center"/>
        <w:rPr>
          <w:sz w:val="32"/>
          <w:szCs w:val="32"/>
          <w:lang w:val="es-CL"/>
        </w:rPr>
      </w:pPr>
      <w:r w:rsidRPr="005E3278">
        <w:rPr>
          <w:sz w:val="32"/>
          <w:szCs w:val="32"/>
          <w:lang w:val="es-CL"/>
        </w:rPr>
        <w:t xml:space="preserve">Desarrollo </w:t>
      </w:r>
      <w:proofErr w:type="spellStart"/>
      <w:r w:rsidRPr="005E3278">
        <w:rPr>
          <w:sz w:val="32"/>
          <w:szCs w:val="32"/>
          <w:lang w:val="es-CL"/>
        </w:rPr>
        <w:t>Fullstack</w:t>
      </w:r>
      <w:proofErr w:type="spellEnd"/>
      <w:r w:rsidRPr="005E3278">
        <w:rPr>
          <w:sz w:val="32"/>
          <w:szCs w:val="32"/>
          <w:lang w:val="es-CL"/>
        </w:rPr>
        <w:t xml:space="preserve"> I 002D</w:t>
      </w:r>
    </w:p>
    <w:p w14:paraId="743D6EA9" w14:textId="77777777" w:rsidR="005E3278" w:rsidRPr="005E3278" w:rsidRDefault="005E3278" w:rsidP="005E3278">
      <w:pPr>
        <w:jc w:val="center"/>
        <w:rPr>
          <w:sz w:val="32"/>
          <w:szCs w:val="32"/>
          <w:lang w:val="es-CL"/>
        </w:rPr>
      </w:pPr>
    </w:p>
    <w:p w14:paraId="73CB4792" w14:textId="77777777" w:rsidR="005E3278" w:rsidRPr="005E3278" w:rsidRDefault="005E3278" w:rsidP="005E3278">
      <w:pPr>
        <w:jc w:val="center"/>
        <w:rPr>
          <w:sz w:val="32"/>
          <w:szCs w:val="32"/>
          <w:lang w:val="es-CL"/>
        </w:rPr>
      </w:pPr>
      <w:r w:rsidRPr="005E3278">
        <w:rPr>
          <w:sz w:val="32"/>
          <w:szCs w:val="32"/>
          <w:lang w:val="es-CL"/>
        </w:rPr>
        <w:t>Duoc UC – Ingeniería Informática</w:t>
      </w:r>
    </w:p>
    <w:p w14:paraId="5885A7BF" w14:textId="77777777" w:rsidR="005E3278" w:rsidRPr="005E3278" w:rsidRDefault="005E3278" w:rsidP="005E3278">
      <w:pPr>
        <w:jc w:val="center"/>
        <w:rPr>
          <w:sz w:val="32"/>
          <w:szCs w:val="32"/>
          <w:lang w:val="es-CL"/>
        </w:rPr>
      </w:pPr>
    </w:p>
    <w:p w14:paraId="1A812008" w14:textId="7FC35B3F" w:rsidR="005E3278" w:rsidRPr="005E3278" w:rsidRDefault="005E3278" w:rsidP="005E3278">
      <w:pPr>
        <w:jc w:val="center"/>
        <w:rPr>
          <w:sz w:val="32"/>
          <w:szCs w:val="32"/>
          <w:lang w:val="es-CL"/>
        </w:rPr>
      </w:pPr>
      <w:r>
        <w:rPr>
          <w:sz w:val="32"/>
          <w:szCs w:val="32"/>
          <w:lang w:val="es-CL"/>
        </w:rPr>
        <w:t>Junio</w:t>
      </w:r>
      <w:r w:rsidRPr="005E3278">
        <w:rPr>
          <w:sz w:val="32"/>
          <w:szCs w:val="32"/>
          <w:lang w:val="es-CL"/>
        </w:rPr>
        <w:t xml:space="preserve"> 2025</w:t>
      </w:r>
    </w:p>
    <w:p w14:paraId="136F680D" w14:textId="04906F16" w:rsidR="005E3278" w:rsidRDefault="005E327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F14B31D" w14:textId="5F4022BD" w:rsidR="005E3278" w:rsidRDefault="005E3278" w:rsidP="005E3278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5E3278">
        <w:rPr>
          <w:b/>
          <w:bCs/>
          <w:i/>
          <w:iCs/>
          <w:sz w:val="28"/>
          <w:szCs w:val="28"/>
        </w:rPr>
        <w:lastRenderedPageBreak/>
        <w:t>1.- Introducción</w:t>
      </w:r>
    </w:p>
    <w:p w14:paraId="6C532B03" w14:textId="77777777" w:rsidR="00A106AF" w:rsidRDefault="00A106AF" w:rsidP="00F57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sz w:val="28"/>
          <w:szCs w:val="28"/>
        </w:rPr>
        <w:t xml:space="preserve">En esta tercera entrega, el proyecto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EduTech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Innovators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SPA avanza desde una arquitectura monolítica inicial hacia un ecosistema completamente modular basado en microservicios. En las Experiencias 1 y 2 se desarrollaron los servicios de Usuarios, Cursos y Evaluaciones, los cuales sentaron las bases funcionales del sistema. En esta nueva fase se incorporaron cuatro microservicios adicionales: Inscripciones, Contenido, Pagos y Soporte, ampliando significativamente las capacidades de la plataforma. Además, se optimizaron las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APIs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existentes mediante la unificación de rutas bajo una misma convención REST (/api/[recurso]), la mejora del manejo de errores y la incorporación de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la documentación automática. Estos avances permitieron implementar pruebas unitarias e integración de manera rigurosa, fortaleciendo la calidad, mantenibilidad y escalabilidad del sistema.</w:t>
      </w:r>
    </w:p>
    <w:p w14:paraId="37104AF7" w14:textId="2739B7F6" w:rsidR="005E3278" w:rsidRPr="005E3278" w:rsidRDefault="005E3278" w:rsidP="00F57402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E32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2.- Estructura del proyecto y configuración</w:t>
      </w:r>
    </w:p>
    <w:p w14:paraId="528005EA" w14:textId="4E07D378" w:rsidR="00F57402" w:rsidRDefault="00A106AF" w:rsidP="005E3278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A106AF">
        <w:rPr>
          <w:rFonts w:ascii="Times New Roman" w:hAnsi="Times New Roman" w:cs="Times New Roman"/>
          <w:sz w:val="28"/>
          <w:szCs w:val="28"/>
        </w:rPr>
        <w:t xml:space="preserve">La solución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EduTech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Innovators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SPA está organizada como un conjunto de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siete microservicios autónomos</w:t>
      </w:r>
      <w:r w:rsidRPr="00A106AF">
        <w:rPr>
          <w:rFonts w:ascii="Times New Roman" w:hAnsi="Times New Roman" w:cs="Times New Roman"/>
          <w:sz w:val="28"/>
          <w:szCs w:val="28"/>
        </w:rPr>
        <w:t xml:space="preserve">: Usuarios, Cursos, Evaluaciones, Inscripciones, Contenido, Pagos y Soporte. Los tres primeros (Usuarios, Cursos y Evaluaciones) fueron desarrollados durante las Experiencias 1 y 2, mientras que los cuatro restantes se incorporaron en la presente etapa. Cada microservicio cuenta con su propio módulo Maven o carpeta raíz y una estructura de paquetes estandarizada: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las clases JPA que mapean las tablas,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las interfaces que extienden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la lógica de negocio anotada con @Service,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controllers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las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APIs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REST expuestas bajo la ruta /api/[recurso], y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clases globales como CorsConfig.java. Cada módulo define en su archivo </w:t>
      </w:r>
      <w:proofErr w:type="spellStart"/>
      <w:proofErr w:type="gramStart"/>
      <w:r w:rsidRPr="00A106AF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 w:rsidRPr="00A106AF">
        <w:rPr>
          <w:rFonts w:ascii="Times New Roman" w:hAnsi="Times New Roman" w:cs="Times New Roman"/>
          <w:sz w:val="28"/>
          <w:szCs w:val="28"/>
        </w:rPr>
        <w:t xml:space="preserve"> un puerto exclusivo (por ejemplo, 8081 para Cursos, 8082 para Evaluaciones, 8083 para Usuarios, hasta 8087 para Contenido), así como su propia configuración de conexión a una base de datos MySQL </w:t>
      </w:r>
      <w:r w:rsidRPr="00A106AF">
        <w:rPr>
          <w:rFonts w:ascii="Times New Roman" w:hAnsi="Times New Roman" w:cs="Times New Roman"/>
          <w:sz w:val="28"/>
          <w:szCs w:val="28"/>
        </w:rPr>
        <w:lastRenderedPageBreak/>
        <w:t>aislada (</w:t>
      </w:r>
      <w:proofErr w:type="spellStart"/>
      <w:proofErr w:type="gramStart"/>
      <w:r w:rsidRPr="00A106AF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://localhost:3306/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edutech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_</w:t>
      </w:r>
      <w:proofErr w:type="gramEnd"/>
      <w:r w:rsidRPr="00A106AF">
        <w:rPr>
          <w:rFonts w:ascii="Times New Roman" w:hAnsi="Times New Roman" w:cs="Times New Roman"/>
          <w:sz w:val="28"/>
          <w:szCs w:val="28"/>
        </w:rPr>
        <w:t xml:space="preserve">[servicio]) y el uso de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HikariCP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como pool de conexiones. En el pom.xml de cada microservicio se incluyen dependencias comunes como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-starter-web,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-starter-data-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connector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-java,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springdoc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-starter-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webmvc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la documentación OAS/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y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-starter-test para las pruebas automatizadas con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5,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Mockito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MockMvc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. Esta arquitectura modular asegura coherencia, escalabilidad y cumplimiento con las buenas prácticas definidas en la rúbrica.</w:t>
      </w:r>
    </w:p>
    <w:p w14:paraId="7774A699" w14:textId="110B8E71" w:rsidR="00F57402" w:rsidRDefault="00F57402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1681C922" w14:textId="79240F87" w:rsidR="005E3278" w:rsidRDefault="00F57402" w:rsidP="005E3278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3.- Diagrama de arquitectura de microservicios</w:t>
      </w:r>
    </w:p>
    <w:p w14:paraId="731EFBA1" w14:textId="77777777" w:rsidR="00A106AF" w:rsidRP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b/>
          <w:bCs/>
          <w:sz w:val="28"/>
          <w:szCs w:val="28"/>
        </w:rPr>
        <w:t>Puertos asignados y flujos de comunicación</w:t>
      </w:r>
    </w:p>
    <w:p w14:paraId="06A84F3F" w14:textId="77777777" w:rsidR="00A106AF" w:rsidRP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b/>
          <w:bCs/>
          <w:sz w:val="28"/>
          <w:szCs w:val="28"/>
        </w:rPr>
        <w:t>Cursos (8081)</w:t>
      </w:r>
      <w:r w:rsidRPr="00A106AF">
        <w:rPr>
          <w:rFonts w:ascii="Times New Roman" w:hAnsi="Times New Roman" w:cs="Times New Roman"/>
          <w:sz w:val="28"/>
          <w:szCs w:val="28"/>
        </w:rPr>
        <w:t xml:space="preserve">: expone /api/cursos. Gestiona alta, baja y listados de cursos; es consumido por Inscripciones y también consultado desde el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mostrar la oferta académica.</w:t>
      </w:r>
    </w:p>
    <w:p w14:paraId="01F4CBD4" w14:textId="77777777" w:rsidR="00A106AF" w:rsidRP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b/>
          <w:bCs/>
          <w:sz w:val="28"/>
          <w:szCs w:val="28"/>
        </w:rPr>
        <w:t>Evaluaciones (8082)</w:t>
      </w:r>
      <w:r w:rsidRPr="00A106AF">
        <w:rPr>
          <w:rFonts w:ascii="Times New Roman" w:hAnsi="Times New Roman" w:cs="Times New Roman"/>
          <w:sz w:val="28"/>
          <w:szCs w:val="28"/>
        </w:rPr>
        <w:t>: expone /api/evaluaciones. Registra y consulta notas de los estudiantes, basándose en la información proveniente del servicio de Usuarios.</w:t>
      </w:r>
    </w:p>
    <w:p w14:paraId="273C3060" w14:textId="77777777" w:rsidR="00A106AF" w:rsidRP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b/>
          <w:bCs/>
          <w:sz w:val="28"/>
          <w:szCs w:val="28"/>
        </w:rPr>
        <w:t>Usuarios (8083)</w:t>
      </w:r>
      <w:r w:rsidRPr="00A106AF">
        <w:rPr>
          <w:rFonts w:ascii="Times New Roman" w:hAnsi="Times New Roman" w:cs="Times New Roman"/>
          <w:sz w:val="28"/>
          <w:szCs w:val="28"/>
        </w:rPr>
        <w:t>: expone /api/usuarios. Administra el registro y consulta de perfiles; su información es utilizada por Inscripciones y Evaluaciones para validar alumnos.</w:t>
      </w:r>
    </w:p>
    <w:p w14:paraId="4B189ABC" w14:textId="77777777" w:rsidR="00A106AF" w:rsidRP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b/>
          <w:bCs/>
          <w:sz w:val="28"/>
          <w:szCs w:val="28"/>
        </w:rPr>
        <w:t>Inscripciones (8084)</w:t>
      </w:r>
      <w:r w:rsidRPr="00A106AF">
        <w:rPr>
          <w:rFonts w:ascii="Times New Roman" w:hAnsi="Times New Roman" w:cs="Times New Roman"/>
          <w:sz w:val="28"/>
          <w:szCs w:val="28"/>
        </w:rPr>
        <w:t>: expone /api/inscripciones. Coordina la relación entre Usuarios y Cursos, validando su existencia antes de registrar la inscripción; además, genera solicitudes hacia el servicio de Pagos.</w:t>
      </w:r>
    </w:p>
    <w:p w14:paraId="09F4F032" w14:textId="77777777" w:rsidR="00A106AF" w:rsidRP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b/>
          <w:bCs/>
          <w:sz w:val="28"/>
          <w:szCs w:val="28"/>
        </w:rPr>
        <w:t>Pagos (8085)</w:t>
      </w:r>
      <w:r w:rsidRPr="00A106AF">
        <w:rPr>
          <w:rFonts w:ascii="Times New Roman" w:hAnsi="Times New Roman" w:cs="Times New Roman"/>
          <w:sz w:val="28"/>
          <w:szCs w:val="28"/>
        </w:rPr>
        <w:t>: expone /api/pagos. Procesa las transacciones vinculadas a Inscripciones; al recibir confirmación, actualiza el estado de inscripción a pagada.</w:t>
      </w:r>
    </w:p>
    <w:p w14:paraId="14AF7619" w14:textId="77777777" w:rsidR="00A106AF" w:rsidRP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b/>
          <w:bCs/>
          <w:sz w:val="28"/>
          <w:szCs w:val="28"/>
        </w:rPr>
        <w:t>Soporte (8086)</w:t>
      </w:r>
      <w:r w:rsidRPr="00A106AF">
        <w:rPr>
          <w:rFonts w:ascii="Times New Roman" w:hAnsi="Times New Roman" w:cs="Times New Roman"/>
          <w:sz w:val="28"/>
          <w:szCs w:val="28"/>
        </w:rPr>
        <w:t xml:space="preserve">: expone /api/soporte. Permite la creación de </w:t>
      </w:r>
      <w:proofErr w:type="gramStart"/>
      <w:r w:rsidRPr="00A106AF">
        <w:rPr>
          <w:rFonts w:ascii="Times New Roman" w:hAnsi="Times New Roman" w:cs="Times New Roman"/>
          <w:sz w:val="28"/>
          <w:szCs w:val="28"/>
        </w:rPr>
        <w:t>tickets</w:t>
      </w:r>
      <w:proofErr w:type="gramEnd"/>
      <w:r w:rsidRPr="00A106AF">
        <w:rPr>
          <w:rFonts w:ascii="Times New Roman" w:hAnsi="Times New Roman" w:cs="Times New Roman"/>
          <w:sz w:val="28"/>
          <w:szCs w:val="28"/>
        </w:rPr>
        <w:t xml:space="preserve"> de atención por parte de los usuarios, gestionando mensajes y el estado de resolución correspondiente.</w:t>
      </w:r>
    </w:p>
    <w:p w14:paraId="2A525EF2" w14:textId="77777777" w:rsidR="00A106AF" w:rsidRP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b/>
          <w:bCs/>
          <w:sz w:val="28"/>
          <w:szCs w:val="28"/>
        </w:rPr>
        <w:t>Contenido (8087)</w:t>
      </w:r>
      <w:r w:rsidRPr="00A106AF">
        <w:rPr>
          <w:rFonts w:ascii="Times New Roman" w:hAnsi="Times New Roman" w:cs="Times New Roman"/>
          <w:sz w:val="28"/>
          <w:szCs w:val="28"/>
        </w:rPr>
        <w:t xml:space="preserve">: expone /api/contenido. Administra materiales académicos asociados a los cursos (documentos, enlaces, archivos multimedia); puede consultarse desde el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relacionarse con las Inscripciones.</w:t>
      </w:r>
    </w:p>
    <w:p w14:paraId="358ED397" w14:textId="5DB47C28" w:rsidR="00F57402" w:rsidRDefault="00F57402" w:rsidP="00F57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5AEBAB" wp14:editId="48DCE7C6">
            <wp:extent cx="5394960" cy="3596640"/>
            <wp:effectExtent l="0" t="0" r="0" b="3810"/>
            <wp:docPr id="107248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FE38" w14:textId="5376D589" w:rsid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Nota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106AF">
        <w:rPr>
          <w:rFonts w:ascii="Times New Roman" w:hAnsi="Times New Roman" w:cs="Times New Roman"/>
          <w:sz w:val="28"/>
          <w:szCs w:val="28"/>
        </w:rPr>
        <w:t xml:space="preserve"> La arquitectura completa y los flujos de comunicación entre microservicios pueden visualizarse en el diagrama incluido, donde se evidencian las dependencias cruzadas y la interacción con el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mediante REST.</w:t>
      </w:r>
    </w:p>
    <w:p w14:paraId="158C67EF" w14:textId="22845B76" w:rsidR="00F57402" w:rsidRDefault="00F57402" w:rsidP="00F57402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4.- Estructura del proyecto y configuración</w:t>
      </w:r>
    </w:p>
    <w:p w14:paraId="0C25898D" w14:textId="77777777" w:rsidR="00A106AF" w:rsidRDefault="00A106AF" w:rsidP="00F57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sz w:val="28"/>
          <w:szCs w:val="28"/>
        </w:rPr>
        <w:t xml:space="preserve">La solución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EduTech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Innovators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 SPA</w:t>
      </w:r>
      <w:r w:rsidRPr="00A106AF">
        <w:rPr>
          <w:rFonts w:ascii="Times New Roman" w:hAnsi="Times New Roman" w:cs="Times New Roman"/>
          <w:sz w:val="28"/>
          <w:szCs w:val="28"/>
        </w:rPr>
        <w:t xml:space="preserve"> se estructura en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siete microservicios independientes</w:t>
      </w:r>
      <w:r w:rsidRPr="00A106AF">
        <w:rPr>
          <w:rFonts w:ascii="Times New Roman" w:hAnsi="Times New Roman" w:cs="Times New Roman"/>
          <w:sz w:val="28"/>
          <w:szCs w:val="28"/>
        </w:rPr>
        <w:t xml:space="preserve">, cada uno respetando una convención de paquetes que favorece la claridad y mantenibilidad del código: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las clases de dominio con anotaciones JPA,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interfaces que extienden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la lógica de negocio anotada con @Service,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controllers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exponer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endpoints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REST bajo la convención /api/[recurso],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clases como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CorsConfig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que habilitan la comunicación entre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y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dto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cuando es necesario estandarizar solicitudes y respuestas JSON. Cada microservicio cuenta con su propio archivo </w:t>
      </w:r>
      <w:proofErr w:type="spellStart"/>
      <w:proofErr w:type="gramStart"/>
      <w:r w:rsidRPr="00A106AF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 w:rsidRPr="00A106AF">
        <w:rPr>
          <w:rFonts w:ascii="Times New Roman" w:hAnsi="Times New Roman" w:cs="Times New Roman"/>
          <w:sz w:val="28"/>
          <w:szCs w:val="28"/>
        </w:rPr>
        <w:t xml:space="preserve">, donde se define un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puerto exclusivo</w:t>
      </w:r>
      <w:r w:rsidRPr="00A106AF">
        <w:rPr>
          <w:rFonts w:ascii="Times New Roman" w:hAnsi="Times New Roman" w:cs="Times New Roman"/>
          <w:sz w:val="28"/>
          <w:szCs w:val="28"/>
        </w:rPr>
        <w:t xml:space="preserve"> (por ejemplo, 8081 para Cursos, 8082 para Evaluaciones, hasta 8087 para Contenido), los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lastRenderedPageBreak/>
        <w:t>parámetros de conexión a una base de datos MySQL aislada</w:t>
      </w:r>
      <w:r w:rsidRPr="00A106AF">
        <w:rPr>
          <w:rFonts w:ascii="Times New Roman" w:hAnsi="Times New Roman" w:cs="Times New Roman"/>
          <w:sz w:val="28"/>
          <w:szCs w:val="28"/>
        </w:rPr>
        <w:t xml:space="preserve"> (spring.datasource.url,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A106AF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proofErr w:type="gramEnd"/>
      <w:r w:rsidRPr="00A106AF">
        <w:rPr>
          <w:rFonts w:ascii="Times New Roman" w:hAnsi="Times New Roman" w:cs="Times New Roman"/>
          <w:sz w:val="28"/>
          <w:szCs w:val="28"/>
        </w:rPr>
        <w:t xml:space="preserve">) y la configuración de JPA e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HikariCP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spring.jpa.hibernate.ddl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-auto=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A106AF">
        <w:rPr>
          <w:rFonts w:ascii="Times New Roman" w:hAnsi="Times New Roman" w:cs="Times New Roman"/>
          <w:sz w:val="28"/>
          <w:szCs w:val="28"/>
        </w:rPr>
        <w:t>hibernate.dialect</w:t>
      </w:r>
      <w:proofErr w:type="spellEnd"/>
      <w:proofErr w:type="gramEnd"/>
      <w:r w:rsidRPr="00A106AF">
        <w:rPr>
          <w:rFonts w:ascii="Times New Roman" w:hAnsi="Times New Roman" w:cs="Times New Roman"/>
          <w:sz w:val="28"/>
          <w:szCs w:val="28"/>
        </w:rPr>
        <w:t xml:space="preserve">, pool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). En el archivo pom.xml de cada servicio se declaran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dependencias comunes</w:t>
      </w:r>
      <w:r w:rsidRPr="00A106AF">
        <w:rPr>
          <w:rFonts w:ascii="Times New Roman" w:hAnsi="Times New Roman" w:cs="Times New Roman"/>
          <w:sz w:val="28"/>
          <w:szCs w:val="28"/>
        </w:rPr>
        <w:t xml:space="preserve"> como: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-starter-web para la capa web,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-starter-data-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connector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-java para persistencia,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spring-boot-devtools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recarga en caliente,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springdoc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-starter-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webmvc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documentación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disponible en /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swagger-ui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/index.html, y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-starter-test para pruebas unitarias e integración con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5,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Mockito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MockMvc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. Esta estructura modular, homogénea y bien documentada facilita la escalabilidad, promueve la separación de responsabilidades y cumple con los criterios exigidos por la rúbrica.</w:t>
      </w:r>
    </w:p>
    <w:p w14:paraId="370CF8BB" w14:textId="316F0BD4" w:rsidR="00F57402" w:rsidRDefault="00F57402" w:rsidP="00F57402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5.- Desarrollo de controladores </w:t>
      </w:r>
    </w:p>
    <w:p w14:paraId="50A5F474" w14:textId="3D33A824" w:rsidR="00A106AF" w:rsidRDefault="00A106AF" w:rsidP="00F57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sz w:val="28"/>
          <w:szCs w:val="28"/>
        </w:rPr>
        <w:t xml:space="preserve">En esta tercera experiencia se incorporaron </w:t>
      </w:r>
      <w:r w:rsidR="00B955C7">
        <w:rPr>
          <w:rFonts w:ascii="Times New Roman" w:hAnsi="Times New Roman" w:cs="Times New Roman"/>
          <w:b/>
          <w:bCs/>
          <w:sz w:val="28"/>
          <w:szCs w:val="28"/>
        </w:rPr>
        <w:t>cuatro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 nuevos controladores REST</w:t>
      </w:r>
      <w:r w:rsidRPr="00A106AF">
        <w:rPr>
          <w:rFonts w:ascii="Times New Roman" w:hAnsi="Times New Roman" w:cs="Times New Roman"/>
          <w:sz w:val="28"/>
          <w:szCs w:val="28"/>
        </w:rPr>
        <w:t xml:space="preserve"> que amplían de forma modular la funcionalidad de la plataforma: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InscripcionController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que expone /api/inscripciones para listar inscripciones mediante GET y registrar nuevas con POST, validando previamente la existencia del usuario y curso antes de persistir la relación;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ContenidoController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accesible en /api/contenidos, que gestiona el ciclo completo de los recursos académicos de cada curso (obtener con GET, crear con POST, actualizar con PUT y eliminar con DELETE), utilizando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DTOs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estandarizar la estructura de los datos; 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PagoController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, disponible en /api/pagos, responsable de procesar transacciones con POST (recibiendo monto y método de pago, validando que la inscripción esté pendiente y calculando descuentos o recargos si corresponde), además de consultar el estado de una transacción específica mediante GET /api/pagos/{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inscripcionId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}</w:t>
      </w:r>
      <w:r w:rsidR="00B955C7">
        <w:rPr>
          <w:rFonts w:ascii="Times New Roman" w:hAnsi="Times New Roman" w:cs="Times New Roman"/>
          <w:sz w:val="28"/>
          <w:szCs w:val="28"/>
        </w:rPr>
        <w:t xml:space="preserve">; y </w:t>
      </w:r>
      <w:proofErr w:type="spellStart"/>
      <w:r w:rsidR="00FD7732" w:rsidRPr="00FD7732">
        <w:rPr>
          <w:rFonts w:ascii="Times New Roman" w:hAnsi="Times New Roman" w:cs="Times New Roman"/>
          <w:b/>
          <w:bCs/>
          <w:sz w:val="28"/>
          <w:szCs w:val="28"/>
        </w:rPr>
        <w:t>SoporteController</w:t>
      </w:r>
      <w:proofErr w:type="spellEnd"/>
      <w:r w:rsidR="00FD7732" w:rsidRPr="00FD7732">
        <w:rPr>
          <w:rFonts w:ascii="Times New Roman" w:hAnsi="Times New Roman" w:cs="Times New Roman"/>
          <w:sz w:val="28"/>
          <w:szCs w:val="28"/>
        </w:rPr>
        <w:t xml:space="preserve">, accesible en /api/soporte, permite a los usuarios registrar solicitudes de asistencia con POST, actualizar </w:t>
      </w:r>
      <w:r w:rsidR="00FD7732" w:rsidRPr="00FD7732">
        <w:rPr>
          <w:rFonts w:ascii="Times New Roman" w:hAnsi="Times New Roman" w:cs="Times New Roman"/>
          <w:sz w:val="28"/>
          <w:szCs w:val="28"/>
        </w:rPr>
        <w:lastRenderedPageBreak/>
        <w:t>el estado del ticket con PUT (por ejemplo, de ABIERTO a EN PROGRESO o CERRADO), y eliminar tickets mediante DELETE. Esta funcionalidad está orientada a mejorar la experiencia del usuario ante incidencias o consultas sobre el sistema.</w:t>
      </w:r>
      <w:r w:rsidRPr="00A106AF">
        <w:rPr>
          <w:rFonts w:ascii="Times New Roman" w:hAnsi="Times New Roman" w:cs="Times New Roman"/>
          <w:sz w:val="28"/>
          <w:szCs w:val="28"/>
        </w:rPr>
        <w:t xml:space="preserve"> Cada controlador delega la lógica a su servicio correspondiente a través de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inyección de dependencias</w:t>
      </w:r>
      <w:r w:rsidRPr="00A106AF">
        <w:rPr>
          <w:rFonts w:ascii="Times New Roman" w:hAnsi="Times New Roman" w:cs="Times New Roman"/>
          <w:sz w:val="28"/>
          <w:szCs w:val="28"/>
        </w:rPr>
        <w:t>, lo que asegura una correcta separación de responsabilidades y facilita tanto la escalabilidad como las pruebas unitarias e integración.</w:t>
      </w:r>
    </w:p>
    <w:p w14:paraId="1FC609C9" w14:textId="38A297CA" w:rsidR="00D65E75" w:rsidRDefault="00D65E75" w:rsidP="00F57402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6.- Ejecución de pruebas</w:t>
      </w:r>
    </w:p>
    <w:p w14:paraId="3B5132BD" w14:textId="77777777" w:rsidR="00A106AF" w:rsidRDefault="00A106AF" w:rsidP="00F57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sz w:val="28"/>
          <w:szCs w:val="28"/>
        </w:rPr>
        <w:t xml:space="preserve">Durante la ejecución de pruebas en los distintos microservicios de la plataforma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EduTech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Innovators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 SPA</w:t>
      </w:r>
      <w:r w:rsidRPr="00A106AF">
        <w:rPr>
          <w:rFonts w:ascii="Times New Roman" w:hAnsi="Times New Roman" w:cs="Times New Roman"/>
          <w:sz w:val="28"/>
          <w:szCs w:val="28"/>
        </w:rPr>
        <w:t xml:space="preserve">, se realizaron inicialmente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pruebas de carga de contexto</w:t>
      </w:r>
      <w:r w:rsidRPr="00A106AF">
        <w:rPr>
          <w:rFonts w:ascii="Times New Roman" w:hAnsi="Times New Roman" w:cs="Times New Roman"/>
          <w:sz w:val="28"/>
          <w:szCs w:val="28"/>
        </w:rPr>
        <w:t xml:space="preserve">, utilizando clases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ApplicationTests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específicas para cada módulo (por ejemplo,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CursosApplicationTests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EvaluacionesApplicationTests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UsuariosApplicationTests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). Estas pruebas, configuradas con la anotación @SpringBootTest, permitieron verificar que el entorno de Spring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se inicializara correctamente, que todos los </w:t>
      </w:r>
      <w:proofErr w:type="spellStart"/>
      <w:r w:rsidRPr="00A106AF">
        <w:rPr>
          <w:rFonts w:ascii="Times New Roman" w:hAnsi="Times New Roman" w:cs="Times New Roman"/>
          <w:i/>
          <w:iCs/>
          <w:sz w:val="28"/>
          <w:szCs w:val="28"/>
        </w:rPr>
        <w:t>beans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fueran detectados y que no existieran conflictos de configuración. Al ejecutar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test, cada uno de estos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tests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finalizó con un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BUILD SUCCESS</w:t>
      </w:r>
      <w:r w:rsidRPr="00A106AF">
        <w:rPr>
          <w:rFonts w:ascii="Times New Roman" w:hAnsi="Times New Roman" w:cs="Times New Roman"/>
          <w:sz w:val="28"/>
          <w:szCs w:val="28"/>
        </w:rPr>
        <w:t>, lo cual confirmó la integridad estructural de los servicios y proporcionó una base sólida para avanzar hacia pruebas unitarias e integración más especializadas, sin riesgo de errores en el arranque ni en la resolución de dependencias.</w:t>
      </w:r>
    </w:p>
    <w:p w14:paraId="36D283A5" w14:textId="2056C1B0" w:rsidR="00D65E75" w:rsidRDefault="00D65E75" w:rsidP="00F57402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7.- Git y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Github</w:t>
      </w:r>
      <w:proofErr w:type="spellEnd"/>
    </w:p>
    <w:p w14:paraId="0CD9C419" w14:textId="655B2386" w:rsidR="00D65E75" w:rsidRDefault="00D65E75" w:rsidP="00F57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E75">
        <w:rPr>
          <w:rFonts w:ascii="Times New Roman" w:hAnsi="Times New Roman" w:cs="Times New Roman"/>
          <w:sz w:val="28"/>
          <w:szCs w:val="28"/>
        </w:rPr>
        <w:t>En el repositorio de GitHub (</w:t>
      </w:r>
      <w:hyperlink r:id="rId7" w:tgtFrame="_new" w:history="1">
        <w:r w:rsidRPr="00D65E75">
          <w:rPr>
            <w:rStyle w:val="Hipervnculo"/>
            <w:rFonts w:ascii="Times New Roman" w:hAnsi="Times New Roman" w:cs="Times New Roman"/>
            <w:sz w:val="28"/>
            <w:szCs w:val="28"/>
          </w:rPr>
          <w:t>https://github.com/moonnnluv/Desarrollo-Fullstack-I-002D</w:t>
        </w:r>
      </w:hyperlink>
      <w:r w:rsidRPr="00D65E75">
        <w:rPr>
          <w:rFonts w:ascii="Times New Roman" w:hAnsi="Times New Roman" w:cs="Times New Roman"/>
          <w:sz w:val="28"/>
          <w:szCs w:val="28"/>
        </w:rPr>
        <w:t xml:space="preserve">) inicializamos el control de versiones con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, añadimos el origen remoto mediante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https://github.com/moonnnluv/Desarrollo-Fullstack-I-002D.git, y para cada entrega seguimos el flujo habitual: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5E7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D65E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-m "Experiencia 3: pruebas e integración" y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-u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. Cada microservicio cuenta con su propio README en el que documentamos la ruta base y los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lastRenderedPageBreak/>
        <w:t>endpoints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disponibles (por ejemplo, /api/usuarios (GET, POST, PUT, DELETE), /api/cursos (GET, POST, DELETE), /api/inscripciones (GET, POST), /api/contenidos (GET, POST, PUT, DELETE), /api/pagos (GET, POST), etc.), de modo que cualquier colaborador pueda probar las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APIs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directamente desde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curl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. Gracias a este esquema de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commits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claros y </w:t>
      </w:r>
      <w:proofErr w:type="spellStart"/>
      <w:r w:rsidRPr="00D65E75">
        <w:rPr>
          <w:rFonts w:ascii="Times New Roman" w:hAnsi="Times New Roman" w:cs="Times New Roman"/>
          <w:sz w:val="28"/>
          <w:szCs w:val="28"/>
        </w:rPr>
        <w:t>READMEs</w:t>
      </w:r>
      <w:proofErr w:type="spellEnd"/>
      <w:r w:rsidRPr="00D65E75">
        <w:rPr>
          <w:rFonts w:ascii="Times New Roman" w:hAnsi="Times New Roman" w:cs="Times New Roman"/>
          <w:sz w:val="28"/>
          <w:szCs w:val="28"/>
        </w:rPr>
        <w:t xml:space="preserve"> detallados, mantenemos un historial ordenado y facilitamos la incorporación de nuevos desarrolladores al proyecto.</w:t>
      </w:r>
    </w:p>
    <w:p w14:paraId="34ACBB03" w14:textId="45D02F24" w:rsidR="00D65E75" w:rsidRDefault="00D65E75" w:rsidP="00F57402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8.- Buenas practicas</w:t>
      </w:r>
    </w:p>
    <w:p w14:paraId="442E0E9C" w14:textId="51669FB8" w:rsidR="00D65E75" w:rsidRDefault="00A106AF" w:rsidP="00F57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sz w:val="28"/>
          <w:szCs w:val="28"/>
        </w:rPr>
        <w:t xml:space="preserve">Implementamos diversas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buenas prácticas</w:t>
      </w:r>
      <w:r w:rsidRPr="00A106AF">
        <w:rPr>
          <w:rFonts w:ascii="Times New Roman" w:hAnsi="Times New Roman" w:cs="Times New Roman"/>
          <w:sz w:val="28"/>
          <w:szCs w:val="28"/>
        </w:rPr>
        <w:t xml:space="preserve"> para asegurar la calidad, mantenibilidad y escalabilidad de la plataforma. Cada microservicio respeta el principio de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separación de responsabilidades</w:t>
      </w:r>
      <w:r w:rsidRPr="00A106AF">
        <w:rPr>
          <w:rFonts w:ascii="Times New Roman" w:hAnsi="Times New Roman" w:cs="Times New Roman"/>
          <w:sz w:val="28"/>
          <w:szCs w:val="28"/>
        </w:rPr>
        <w:t xml:space="preserve">, con capas bien definidas para entidades, repositorios, servicios y controladores. Utilizamos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DTOs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establecer contratos claros de entrada y salida en las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APIs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evitando exponer directamente las entidades JPA. Todas las rutas REST siguen una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convención uniforme</w:t>
      </w:r>
      <w:r w:rsidRPr="00A106AF">
        <w:rPr>
          <w:rFonts w:ascii="Times New Roman" w:hAnsi="Times New Roman" w:cs="Times New Roman"/>
          <w:sz w:val="28"/>
          <w:szCs w:val="28"/>
        </w:rPr>
        <w:t xml:space="preserve"> (/api/[recurso]) e implementan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idempotencia</w:t>
      </w:r>
      <w:r w:rsidRPr="00A106AF">
        <w:rPr>
          <w:rFonts w:ascii="Times New Roman" w:hAnsi="Times New Roman" w:cs="Times New Roman"/>
          <w:sz w:val="28"/>
          <w:szCs w:val="28"/>
        </w:rPr>
        <w:t xml:space="preserve"> cuando corresponde (por ejemplo, el uso de PUT para actualizaciones completas). Centralizamos la configuración de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CORS</w:t>
      </w:r>
      <w:r w:rsidRPr="00A106AF">
        <w:rPr>
          <w:rFonts w:ascii="Times New Roman" w:hAnsi="Times New Roman" w:cs="Times New Roman"/>
          <w:sz w:val="28"/>
          <w:szCs w:val="28"/>
        </w:rPr>
        <w:t xml:space="preserve"> mediante clases reutilizables dentro del paquete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y aplicamos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inyección de dependencias</w:t>
      </w:r>
      <w:r w:rsidRPr="00A106AF">
        <w:rPr>
          <w:rFonts w:ascii="Times New Roman" w:hAnsi="Times New Roman" w:cs="Times New Roman"/>
          <w:sz w:val="28"/>
          <w:szCs w:val="28"/>
        </w:rPr>
        <w:t xml:space="preserve"> para desacoplar componentes y facilitar las pruebas. Además, adoptamos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Springdoc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OpenAPI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para generar automáticamente documentación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de cada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lo que mejora la comunicación con el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con posibles consumidores externos. Finalmente, mantenemos un flujo de trabajo Git limpio, con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commits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 atómicos</w:t>
      </w:r>
      <w:r w:rsidRPr="00A106AF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READMEs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 actualizados</w:t>
      </w:r>
      <w:r w:rsidRPr="00A106AF">
        <w:rPr>
          <w:rFonts w:ascii="Times New Roman" w:hAnsi="Times New Roman" w:cs="Times New Roman"/>
          <w:sz w:val="28"/>
          <w:szCs w:val="28"/>
        </w:rPr>
        <w:t xml:space="preserve"> por servicio que describen los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endpoints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su uso esperado. Todo esto garantiza un código limpio,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testeable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listo para futuras expansiones.</w:t>
      </w:r>
    </w:p>
    <w:p w14:paraId="20CBACC0" w14:textId="08EA218D" w:rsidR="00A106AF" w:rsidRDefault="00A106AF" w:rsidP="00F57402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9</w:t>
      </w:r>
      <w:r w:rsidRPr="00A106AF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A106A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Documentación y descubrimiento de </w:t>
      </w:r>
      <w:proofErr w:type="spellStart"/>
      <w:r w:rsidRPr="00A106A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APIs</w:t>
      </w:r>
      <w:proofErr w:type="spellEnd"/>
    </w:p>
    <w:p w14:paraId="7400DE5F" w14:textId="34D6E755" w:rsidR="00A106AF" w:rsidRPr="00A106AF" w:rsidRDefault="00A106AF" w:rsidP="00F57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sz w:val="28"/>
          <w:szCs w:val="28"/>
        </w:rPr>
        <w:t xml:space="preserve">Cada microservicio de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EduTech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Innovators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SPA fue documentado utilizando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Springdoc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generando de forma automática una interfaz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</w:t>
      </w:r>
      <w:r w:rsidRPr="00A106AF">
        <w:rPr>
          <w:rFonts w:ascii="Times New Roman" w:hAnsi="Times New Roman" w:cs="Times New Roman"/>
          <w:sz w:val="28"/>
          <w:szCs w:val="28"/>
        </w:rPr>
        <w:lastRenderedPageBreak/>
        <w:t>accesible desde la ruta /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swagger-ui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/index.html. Esta documentación expone todos los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endpoints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REST disponibles, con sus métodos HTTP, parámetros requeridos, estructuras de entrada (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DTOs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) y respuestas esperadas, facilitando el consumo de las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APIs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tanto por desarrolladores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como por herramientas de prueba como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. La incorporación de esta capa de documentación no solo mejora la comprensión del sistema, sino que permite validar las rutas directamente desde el navegador y acelera la integración entre servicios o con plataformas externas.</w:t>
      </w:r>
    </w:p>
    <w:p w14:paraId="53085BE4" w14:textId="72E35DC0" w:rsidR="00D65E75" w:rsidRDefault="00A106AF" w:rsidP="00F57402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10</w:t>
      </w:r>
      <w:r w:rsidR="00D65E7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.- Conclusión</w:t>
      </w:r>
    </w:p>
    <w:p w14:paraId="62519812" w14:textId="77777777" w:rsidR="00A106AF" w:rsidRPr="00A106AF" w:rsidRDefault="00A106AF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6AF">
        <w:rPr>
          <w:rFonts w:ascii="Times New Roman" w:hAnsi="Times New Roman" w:cs="Times New Roman"/>
          <w:sz w:val="28"/>
          <w:szCs w:val="28"/>
        </w:rPr>
        <w:t xml:space="preserve">En conclusión, esta experiencia nos permitió consolidar la comprensión entre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pruebas unitarias</w:t>
      </w:r>
      <w:r w:rsidRPr="00A106AF">
        <w:rPr>
          <w:rFonts w:ascii="Times New Roman" w:hAnsi="Times New Roman" w:cs="Times New Roman"/>
          <w:sz w:val="28"/>
          <w:szCs w:val="28"/>
        </w:rPr>
        <w:t xml:space="preserve">, enfocadas en validar la lógica interna de los servicios utilizando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JUnit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 y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Mockito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, y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pruebas de integración</w:t>
      </w:r>
      <w:r w:rsidRPr="00A106AF">
        <w:rPr>
          <w:rFonts w:ascii="Times New Roman" w:hAnsi="Times New Roman" w:cs="Times New Roman"/>
          <w:sz w:val="28"/>
          <w:szCs w:val="28"/>
        </w:rPr>
        <w:t xml:space="preserve">, dirigidas a verificar el funcionamiento completo de los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endpoints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REST mediante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MockMvc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y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Spring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Boot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 xml:space="preserve"> Test</w:t>
      </w:r>
      <w:r w:rsidRPr="00A106AF">
        <w:rPr>
          <w:rFonts w:ascii="Times New Roman" w:hAnsi="Times New Roman" w:cs="Times New Roman"/>
          <w:sz w:val="28"/>
          <w:szCs w:val="28"/>
        </w:rPr>
        <w:t xml:space="preserve">. La incorporación de 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Swagger</w:t>
      </w:r>
      <w:proofErr w:type="spellEnd"/>
      <w:r w:rsidRPr="00A106AF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A106AF">
        <w:rPr>
          <w:rFonts w:ascii="Times New Roman" w:hAnsi="Times New Roman" w:cs="Times New Roman"/>
          <w:b/>
          <w:bCs/>
          <w:sz w:val="28"/>
          <w:szCs w:val="28"/>
        </w:rPr>
        <w:t>OpenAPI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 xml:space="preserve"> facilitó la documentación automática y el descubrimiento de cada ruta. Durante el desarrollo, enfrentamos desafíos como conflictos de puertos al ejecutar múltiples microservicios localmente y la sincronización del historial en Git tras fusiones, los cuales resolvimos ajustando con precisión los valores de </w:t>
      </w:r>
      <w:proofErr w:type="spellStart"/>
      <w:proofErr w:type="gramStart"/>
      <w:r w:rsidRPr="00A106AF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A106AF">
        <w:rPr>
          <w:rFonts w:ascii="Times New Roman" w:hAnsi="Times New Roman" w:cs="Times New Roman"/>
          <w:sz w:val="28"/>
          <w:szCs w:val="28"/>
        </w:rPr>
        <w:t xml:space="preserve"> y aplicando </w:t>
      </w:r>
      <w:r w:rsidRPr="00A106AF">
        <w:rPr>
          <w:rFonts w:ascii="Times New Roman" w:hAnsi="Times New Roman" w:cs="Times New Roman"/>
          <w:b/>
          <w:bCs/>
          <w:sz w:val="28"/>
          <w:szCs w:val="28"/>
        </w:rPr>
        <w:t>rebases interactivos</w:t>
      </w:r>
      <w:r w:rsidRPr="00A106AF">
        <w:rPr>
          <w:rFonts w:ascii="Times New Roman" w:hAnsi="Times New Roman" w:cs="Times New Roman"/>
          <w:sz w:val="28"/>
          <w:szCs w:val="28"/>
        </w:rPr>
        <w:t xml:space="preserve"> para mantener un historial limpio. Finalmente, reforzamos buenas prácticas clave: arquitectura modular con servicios independientes, uso coherente de convenciones REST (/api/[recurso]), implementación de </w:t>
      </w:r>
      <w:proofErr w:type="spellStart"/>
      <w:r w:rsidRPr="00A106AF">
        <w:rPr>
          <w:rFonts w:ascii="Times New Roman" w:hAnsi="Times New Roman" w:cs="Times New Roman"/>
          <w:sz w:val="28"/>
          <w:szCs w:val="28"/>
        </w:rPr>
        <w:t>DTOs</w:t>
      </w:r>
      <w:proofErr w:type="spellEnd"/>
      <w:r w:rsidRPr="00A106AF">
        <w:rPr>
          <w:rFonts w:ascii="Times New Roman" w:hAnsi="Times New Roman" w:cs="Times New Roman"/>
          <w:sz w:val="28"/>
          <w:szCs w:val="28"/>
        </w:rPr>
        <w:t>, configuración centralizada de CORS y un enfoque de pruebas automatizadas que asegura calidad y facilita la evolución futura de la plataforma.</w:t>
      </w:r>
    </w:p>
    <w:p w14:paraId="09B7EB4F" w14:textId="40ADB04F" w:rsidR="00D65E75" w:rsidRPr="00D65E75" w:rsidRDefault="00D65E75" w:rsidP="00A106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65E75" w:rsidRPr="00D65E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8612F4"/>
    <w:multiLevelType w:val="multilevel"/>
    <w:tmpl w:val="A46E9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BE40E8"/>
    <w:multiLevelType w:val="multilevel"/>
    <w:tmpl w:val="7FF8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1682636">
    <w:abstractNumId w:val="1"/>
  </w:num>
  <w:num w:numId="2" w16cid:durableId="1601140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78"/>
    <w:rsid w:val="005E3278"/>
    <w:rsid w:val="00644CAE"/>
    <w:rsid w:val="00A106AF"/>
    <w:rsid w:val="00B955C7"/>
    <w:rsid w:val="00D61057"/>
    <w:rsid w:val="00D65E75"/>
    <w:rsid w:val="00DE2555"/>
    <w:rsid w:val="00E77B6B"/>
    <w:rsid w:val="00F57402"/>
    <w:rsid w:val="00FD7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F2F3"/>
  <w15:chartTrackingRefBased/>
  <w15:docId w15:val="{6C88468B-304B-429E-9D88-F2D2D8A6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3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3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32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3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32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32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32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32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32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32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32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32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32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327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32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327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32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32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3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3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32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3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3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327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327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327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32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327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327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65E7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E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0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91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42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084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910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61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02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94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11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577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983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16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3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9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46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6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483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625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410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9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3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0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75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53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7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753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35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5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0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99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27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5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75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0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moonnnluv/Desarrollo-Fullstack-I-002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1924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TORREJON SOTO</dc:creator>
  <cp:keywords/>
  <dc:description/>
  <cp:lastModifiedBy>ALEJANDRA ELIZABETH REYES DUQUE</cp:lastModifiedBy>
  <cp:revision>3</cp:revision>
  <dcterms:created xsi:type="dcterms:W3CDTF">2025-06-24T23:56:00Z</dcterms:created>
  <dcterms:modified xsi:type="dcterms:W3CDTF">2025-06-24T18:14:00Z</dcterms:modified>
</cp:coreProperties>
</file>