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OpenClaw模型配置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OpenClaw 使用 </w:t>
      </w:r>
      <w:r>
        <w:rPr>
          <w:rFonts w:eastAsia="Consolas" w:ascii="Consolas" w:cs="Consolas" w:hAnsi="Consolas"/>
          <w:sz w:val="22"/>
          <w:shd w:fill="EFF0F1"/>
        </w:rPr>
        <w:t>provider/model</w:t>
      </w:r>
      <w:r>
        <w:rPr>
          <w:rFonts w:eastAsia="等线" w:ascii="Arial" w:cs="Arial" w:hAnsi="Arial"/>
          <w:sz w:val="22"/>
        </w:rPr>
        <w:t xml:space="preserve"> 格式引用模型。例如：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moonshot/kimi-k2.5</w:t>
      </w:r>
      <w:r>
        <w:rPr>
          <w:rFonts w:eastAsia="等线" w:ascii="Arial" w:cs="Arial" w:hAnsi="Arial"/>
          <w:sz w:val="22"/>
        </w:rPr>
        <w:t xml:space="preserve"> — Moonshot 提供商的 Kimi K2.5 模型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zai/glm-4.7</w:t>
      </w:r>
      <w:r>
        <w:rPr>
          <w:rFonts w:eastAsia="等线" w:ascii="Arial" w:cs="Arial" w:hAnsi="Arial"/>
          <w:sz w:val="22"/>
        </w:rPr>
        <w:t xml:space="preserve"> — Z.AI 提供商的 GLM-4.7 模型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minimax/MiniMax-M2.1</w:t>
      </w:r>
      <w:r>
        <w:rPr>
          <w:rFonts w:eastAsia="等线" w:ascii="Arial" w:cs="Arial" w:hAnsi="Arial"/>
          <w:sz w:val="22"/>
        </w:rPr>
        <w:t xml:space="preserve"> — MiniMax 提供商的 M2.1 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所有提供商配置位于 </w:t>
      </w:r>
      <w:r>
        <w:rPr>
          <w:rFonts w:eastAsia="Consolas" w:ascii="Consolas" w:cs="Consolas" w:hAnsi="Consolas"/>
          <w:sz w:val="22"/>
          <w:shd w:fill="EFF0F1"/>
        </w:rPr>
        <w:t>openclaw.json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models.providers</w:t>
      </w:r>
      <w:r>
        <w:rPr>
          <w:rFonts w:eastAsia="等线" w:ascii="Arial" w:cs="Arial" w:hAnsi="Arial"/>
          <w:sz w:val="22"/>
        </w:rPr>
        <w:t xml:space="preserve"> 字段下：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// Agent 默认模型</w:t>
              <w:br/>
              <w:t xml:space="preserve">  agents: {</w:t>
              <w:br/>
              <w:t xml:space="preserve">    defaults: {</w:t>
              <w:br/>
              <w:t xml:space="preserve">      model: { primary: "provider/model-id" },</w:t>
              <w:br/>
              <w:t xml:space="preserve">    },</w:t>
              <w:br/>
              <w:t xml:space="preserve">  },</w:t>
              <w:br/>
              <w:br/>
              <w:t xml:space="preserve">  // 模型提供商配置</w:t>
              <w:br/>
              <w:t xml:space="preserve">  models: {</w:t>
              <w:br/>
              <w:t xml:space="preserve">    mode: "merge",  // 保留内置提供商，同时添加自定义提供商</w:t>
              <w:br/>
              <w:t xml:space="preserve">    providers: {</w:t>
              <w:br/>
              <w:t xml:space="preserve">      "my-provider": {</w:t>
              <w:br/>
              <w:t xml:space="preserve">        baseUrl: "https://api.example.com/v1",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apiKey: "12345345",       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// 直接明文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api: "openai-completions",         // API 协议</w:t>
              <w:br/>
              <w:t xml:space="preserve">        models: [</w:t>
              <w:br/>
              <w:t xml:space="preserve">    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id: "model-name",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//暂时只填id和name就行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name: "Display Name",</w:t>
              <w:br/>
              <w:t xml:space="preserve">            reasoning: false,</w:t>
              <w:br/>
              <w:t xml:space="preserve">            input: ["text"],</w:t>
              <w:br/>
              <w:t xml:space="preserve">            contextWindow: 200000,</w:t>
              <w:br/>
              <w:t xml:space="preserve">            maxTokens: 8192,</w:t>
              <w:br/>
              <w:t xml:space="preserve">          },</w:t>
              <w:br/>
              <w:t xml:space="preserve">        ],</w:t>
              <w:br/>
              <w:t xml:space="preserve">      },</w:t>
              <w:br/>
              <w:t xml:space="preserve">    },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内置提供商（如 </w:t>
      </w:r>
      <w:r>
        <w:rPr>
          <w:rFonts w:eastAsia="Consolas" w:ascii="Consolas" w:cs="Consolas" w:hAnsi="Consolas"/>
          <w:sz w:val="22"/>
          <w:shd w:fill="EFF0F1"/>
        </w:rPr>
        <w:t>anthropic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openai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zai</w:t>
      </w:r>
      <w:r>
        <w:rPr>
          <w:rFonts w:eastAsia="等线" w:ascii="Arial" w:cs="Arial" w:hAnsi="Arial"/>
          <w:sz w:val="22"/>
        </w:rPr>
        <w:t xml:space="preserve">）：由 OpenClaw 的 pi-ai 目录预定义，只需设置认证凭据即可使用，无需配置 </w:t>
      </w:r>
      <w:r>
        <w:rPr>
          <w:rFonts w:eastAsia="Consolas" w:ascii="Consolas" w:cs="Consolas" w:hAnsi="Consolas"/>
          <w:sz w:val="22"/>
          <w:shd w:fill="EFF0F1"/>
        </w:rPr>
        <w:t>models.providers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内置提供商放在</w:t>
      </w:r>
      <w:hyperlink r:id="rId5">
        <w:r>
          <w:rPr>
            <w:rFonts w:eastAsia="等线" w:ascii="Arial" w:cs="Arial" w:hAnsi="Arial"/>
            <w:color w:val="3370ff"/>
            <w:sz w:val="22"/>
          </w:rPr>
          <w:t>特殊模型配置</w:t>
        </w:r>
      </w:hyperlink>
      <w:r>
        <w:rPr>
          <w:rFonts w:eastAsia="等线" w:ascii="Arial" w:cs="Arial" w:hAnsi="Arial"/>
          <w:color w:val="d83931"/>
          <w:sz w:val="22"/>
        </w:rPr>
        <w:t>里了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自定义提供商（如 </w:t>
      </w:r>
      <w:r>
        <w:rPr>
          <w:rFonts w:eastAsia="Consolas" w:ascii="Consolas" w:cs="Consolas" w:hAnsi="Consolas"/>
          <w:sz w:val="22"/>
          <w:shd w:fill="EFF0F1"/>
        </w:rPr>
        <w:t>moonshot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deepseek</w:t>
      </w:r>
      <w:r>
        <w:rPr>
          <w:rFonts w:eastAsia="等线" w:ascii="Arial" w:cs="Arial" w:hAnsi="Arial"/>
          <w:sz w:val="22"/>
        </w:rPr>
        <w:t xml:space="preserve">）：需要在 </w:t>
      </w:r>
      <w:r>
        <w:rPr>
          <w:rFonts w:eastAsia="Consolas" w:ascii="Consolas" w:cs="Consolas" w:hAnsi="Consolas"/>
          <w:sz w:val="22"/>
          <w:shd w:fill="EFF0F1"/>
        </w:rPr>
        <w:t>models.providers</w:t>
      </w:r>
      <w:r>
        <w:rPr>
          <w:rFonts w:eastAsia="等线" w:ascii="Arial" w:cs="Arial" w:hAnsi="Arial"/>
          <w:sz w:val="22"/>
        </w:rPr>
        <w:t xml:space="preserve"> 中手动配置 </w:t>
      </w:r>
      <w:r>
        <w:rPr>
          <w:rFonts w:eastAsia="Consolas" w:ascii="Consolas" w:cs="Consolas" w:hAnsi="Consolas"/>
          <w:sz w:val="22"/>
          <w:shd w:fill="EFF0F1"/>
        </w:rPr>
        <w:t>baseUrl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apiKey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api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models</w:t>
      </w:r>
      <w:r>
        <w:rPr>
          <w:rFonts w:eastAsia="等线" w:ascii="Arial" w:cs="Arial" w:hAnsi="Arial"/>
          <w:sz w:val="22"/>
        </w:rPr>
        <w:t xml:space="preserve"> 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</w:t>
      </w:r>
      <w:r>
        <w:rPr>
          <w:rFonts w:eastAsia="等线" w:ascii="Arial" w:cs="Arial" w:hAnsi="Arial"/>
          <w:sz w:val="22"/>
        </w:rPr>
        <w:t xml:space="preserve"> 协议字段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支持以下 API 协议：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6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models.mode: "merge"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设置为 </w:t>
      </w:r>
      <w:r>
        <w:rPr>
          <w:rFonts w:eastAsia="Consolas" w:ascii="Consolas" w:cs="Consolas" w:hAnsi="Consolas"/>
          <w:sz w:val="22"/>
          <w:shd w:fill="EFF0F1"/>
        </w:rPr>
        <w:t>"merge"</w:t>
      </w:r>
      <w:r>
        <w:rPr>
          <w:rFonts w:eastAsia="等线" w:ascii="Arial" w:cs="Arial" w:hAnsi="Arial"/>
          <w:sz w:val="22"/>
        </w:rPr>
        <w:t xml:space="preserve"> 时，自定义提供商会与内置提供商并存。如不设置此字段，自定义配置可能覆盖内置提供商列表。建议始终设置为 </w:t>
      </w:r>
      <w:r>
        <w:rPr>
          <w:rFonts w:eastAsia="Consolas" w:ascii="Consolas" w:cs="Consolas" w:hAnsi="Consolas"/>
          <w:sz w:val="22"/>
          <w:shd w:fill="EFF0F1"/>
        </w:rPr>
        <w:t>"merge"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初始化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运行以下命令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onboard --non-interactive --accept-risk</w:t>
              <w:br/>
              <w:t xml:space="preserve"> openclaw config set models.mode "merge"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models.providers "{}" --json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openclaw.json文件中会出现以下结构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"models": {</w:t>
              <w:br/>
              <w:t xml:space="preserve">    "mode": "merge",</w:t>
              <w:br/>
              <w:t xml:space="preserve">    "providers":{}</w:t>
              <w:br/>
            </w:r>
            <w:r>
              <w:rPr>
                <w:rFonts w:eastAsia="Consolas" w:ascii="Consolas" w:cs="Consolas" w:hAnsi="Consolas"/>
                <w:sz w:val="22"/>
              </w:rPr>
              <w:t>},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Consolas" w:ascii="Consolas" w:cs="Consolas" w:hAnsi="Consolas"/>
          <w:sz w:val="22"/>
          <w:shd w:fill="EFF0F1"/>
        </w:rPr>
        <w:t>models.json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"models"</w:t>
      </w:r>
      <w:r>
        <w:rPr>
          <w:rFonts w:eastAsia="等线" w:ascii="Arial" w:cs="Arial" w:hAnsi="Arial"/>
          <w:sz w:val="22"/>
        </w:rPr>
        <w:t>数据替换以上结构，完成初始化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模型配置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用户操作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添加模型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提供商列表选择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用户可以在列表里选择用哪家模型，例如阿里云(北京)/阿里云(新加坡)/腾讯混元/火山引擎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&lt;provider-id&gt;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key输入框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用户输入厂商对应的API key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&lt;api-key&gt;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模型输入框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用户输入对应的模型名，例如qwen3.5-plus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&lt;model-id&gt;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切换模型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模型列表选择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用户选择对应的模型，例如qwen3.5-plus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&lt;model-id&gt;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具体配置流程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添加模型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</w:t>
      </w:r>
      <w:r>
        <w:rPr>
          <w:rFonts w:eastAsia="Consolas" w:ascii="Consolas" w:cs="Consolas" w:hAnsi="Consolas"/>
          <w:sz w:val="22"/>
          <w:shd w:fill="EFF0F1"/>
        </w:rPr>
        <w:t>openclaw.json</w:t>
      </w:r>
      <w:r>
        <w:rPr>
          <w:rFonts w:eastAsia="等线" w:ascii="Arial" w:cs="Arial" w:hAnsi="Arial"/>
          <w:sz w:val="22"/>
        </w:rPr>
        <w:t>，找到</w:t>
      </w:r>
      <w:r>
        <w:rPr>
          <w:rFonts w:eastAsia="Consolas" w:ascii="Consolas" w:cs="Consolas" w:hAnsi="Consolas"/>
          <w:sz w:val="22"/>
          <w:shd w:fill="EFF0F1"/>
        </w:rPr>
        <w:t>models.providers.&lt;provider-id&gt;</w:t>
      </w:r>
      <w:r>
        <w:rPr>
          <w:rFonts w:eastAsia="等线" w:ascii="Arial" w:cs="Arial" w:hAnsi="Arial"/>
          <w:sz w:val="22"/>
        </w:rPr>
        <w:t>处的数据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"models": {</w:t>
              <w:br/>
              <w:t xml:space="preserve">    "mode": "merge",</w:t>
              <w:br/>
              <w:t xml:space="preserve">    "providers":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&lt;provider-id&gt;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"baseUrl": "https://api.hunyuan.cloud.tencent.com/v1",</w:t>
              <w:br/>
              <w:t xml:space="preserve">        "apiKey": "",</w:t>
              <w:br/>
              <w:t xml:space="preserve">        "api": "openai-completions",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"models":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"id": "hunyuan-turbos-latest",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"name": "hunyuan Turbos"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]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},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"models"</w:t>
      </w:r>
      <w:r>
        <w:rPr>
          <w:rFonts w:eastAsia="等线" w:ascii="Arial" w:cs="Arial" w:hAnsi="Arial"/>
          <w:sz w:val="22"/>
        </w:rPr>
        <w:t>列表中加入新模型，顺便修改API key，如下所示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"models": {</w:t>
              <w:br/>
              <w:t xml:space="preserve">    "mode": "merge",</w:t>
              <w:br/>
              <w:t xml:space="preserve">    "providers":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&lt;provider-id&gt;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"baseUrl": "https://api.hunyuan.cloud.tencent.com/v1",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"apiKey": "</w:t>
            </w:r>
            <w:r>
              <w:rPr>
                <w:rFonts w:eastAsia="Consolas" w:ascii="Consolas" w:cs="Consolas" w:hAnsi="Consolas"/>
                <w:color w:val="d83931"/>
                <w:sz w:val="22"/>
                <w:shd w:fill="fff67a"/>
              </w:rPr>
              <w:t>&lt;api-key&gt;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"api": "openai-completions",</w:t>
              <w:br/>
              <w:t xml:space="preserve">        "models": [</w:t>
              <w:br/>
              <w:t xml:space="preserve">          {</w:t>
              <w:br/>
              <w:t xml:space="preserve">            "id": "hunyuan-turbos-latest",</w:t>
              <w:br/>
              <w:t xml:space="preserve">            "name": "hunyuan Turbos"</w:t>
              <w:br/>
              <w:t xml:space="preserve">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"id": "</w:t>
            </w:r>
            <w:r>
              <w:rPr>
                <w:rFonts w:eastAsia="Consolas" w:ascii="Consolas" w:cs="Consolas" w:hAnsi="Consolas"/>
                <w:color w:val="d83931"/>
                <w:sz w:val="22"/>
                <w:shd w:fill="fff67a"/>
              </w:rPr>
              <w:t>&lt;model-id&gt;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"name": "</w:t>
            </w:r>
            <w:r>
              <w:rPr>
                <w:rFonts w:eastAsia="Consolas" w:ascii="Consolas" w:cs="Consolas" w:hAnsi="Consolas"/>
                <w:color w:val="d83931"/>
                <w:sz w:val="22"/>
                <w:shd w:fill="fff67a"/>
              </w:rPr>
              <w:t>&lt;model-id&gt;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},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</w:t>
      </w:r>
      <w:r>
        <w:rPr>
          <w:rFonts w:eastAsia="Consolas" w:ascii="Consolas" w:cs="Consolas" w:hAnsi="Consolas"/>
          <w:sz w:val="22"/>
          <w:shd w:fill="EFF0F1"/>
        </w:rPr>
        <w:t>agents.defults.models</w:t>
      </w:r>
      <w:r>
        <w:rPr>
          <w:rFonts w:eastAsia="等线" w:ascii="Arial" w:cs="Arial" w:hAnsi="Arial"/>
          <w:sz w:val="22"/>
        </w:rPr>
        <w:t>处的数据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"agents": {</w:t>
              <w:br/>
              <w:t xml:space="preserve">    "defaults": {</w:t>
              <w:br/>
              <w:t xml:space="preserve">      "model": {</w:t>
              <w:br/>
              <w:t xml:space="preserve">        "primary": "zai/glm-5"</w:t>
              <w:br/>
              <w:t xml:space="preserve">      },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"models":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"hunyuan/hunyuan-turbos-latest": {},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"workspace": "C:\\Users\\MINIPC\\.openclaw\\workspace",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"models"</w:t>
      </w:r>
      <w:r>
        <w:rPr>
          <w:rFonts w:eastAsia="等线" w:ascii="Arial" w:cs="Arial" w:hAnsi="Arial"/>
          <w:sz w:val="22"/>
        </w:rPr>
        <w:t>列表中加入新模型，如下所示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"agents": {</w:t>
              <w:br/>
              <w:t xml:space="preserve">    "defaults": {</w:t>
              <w:br/>
              <w:t xml:space="preserve">      "model": {</w:t>
              <w:br/>
              <w:t xml:space="preserve">        "primary": "zai/glm-5"</w:t>
              <w:br/>
              <w:t xml:space="preserve">      },</w:t>
              <w:br/>
              <w:t xml:space="preserve">      "models": {</w:t>
              <w:br/>
              <w:t xml:space="preserve">        "hunyuan/hunyuan-turbos-latest": {},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</w:t>
            </w:r>
            <w:r>
              <w:rPr>
                <w:rFonts w:eastAsia="Consolas" w:ascii="Consolas" w:cs="Consolas" w:hAnsi="Consolas"/>
                <w:color w:val="d83931"/>
                <w:sz w:val="22"/>
                <w:shd w:fill="fff67a"/>
              </w:rPr>
              <w:t>&lt;provider-id&gt;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/</w:t>
            </w:r>
            <w:r>
              <w:rPr>
                <w:rFonts w:eastAsia="Consolas" w:ascii="Consolas" w:cs="Consolas" w:hAnsi="Consolas"/>
                <w:color w:val="d83931"/>
                <w:sz w:val="22"/>
                <w:shd w:fill="fff67a"/>
              </w:rPr>
              <w:t>&lt;model-id&gt;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": {},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},</w:t>
              <w:br/>
              <w:t xml:space="preserve">      "workspace": "C:\\Users\\MINIPC\\.openclaw\\workspace",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切换模型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运行以下命令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openclaw models set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&lt;model-id&gt;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运行效果：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提供商一览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提供商名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&lt;provider-id&gt;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阿里云百炼：华北2（北京）节点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aliyun-beijing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阿里云百炼： 新加坡节点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aliyun-singapore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阿里云百炼：美国（弗吉尼亚）节点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aliyun-us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腾讯混元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hunyuan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火山引擎（豆包）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volcengine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MiniMax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minimax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Moonshot AI (Kimi)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moonshot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DeepSeek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小米 MiMo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xiaomi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bookmarkEnd w:id="1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特殊模型配置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有几种内置提供商配重方法比较特殊，无需配置</w:t>
      </w:r>
      <w:r>
        <w:rPr>
          <w:rFonts w:eastAsia="Consolas" w:ascii="Consolas" w:cs="Consolas" w:hAnsi="Consolas"/>
          <w:sz w:val="22"/>
          <w:shd w:fill="EFF0F1"/>
        </w:rPr>
        <w:t>models.providers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提供商一览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45"/>
        <w:gridCol w:w="1725"/>
        <w:gridCol w:w="3210"/>
      </w:tblGrid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提供商名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&lt;provider-id&gt;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自动配好的模型id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智谱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zai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glm-5/glm-4.7/glm-4.7-flash/glm-4.7-flashx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通义千问 OAuth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qwen-portal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coder-model/vision-model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阿里云百炼：美国（弗吉尼亚）节点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aliyun-us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腾讯混元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hunyuan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火山引擎（豆包）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volcengine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MiniMax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minimax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Moonshot AI (Kimi)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moonshot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DeepSeek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小米 MiMo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xiaomi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智谱 GLM (Z.AI)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openclaw onboard --zai-api-key 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&lt;api-key&gt;</w:t>
            </w:r>
            <w:r>
              <w:rPr>
                <w:rFonts w:eastAsia="Consolas" w:ascii="Consolas" w:cs="Consolas" w:hAnsi="Consolas"/>
                <w:sz w:val="22"/>
              </w:rPr>
              <w:t>" --non-interactive --accept-risk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千问 OAuth插件认证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models auth login --provider qwen-portal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执行后会自动弹出浏览器页面，需要用户登录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每次重开电脑都需要执行一次命令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执行完后会自动填好</w:t>
      </w:r>
      <w:r>
        <w:rPr>
          <w:rFonts w:eastAsia="Consolas" w:ascii="Consolas" w:cs="Consolas" w:hAnsi="Consolas"/>
          <w:sz w:val="22"/>
          <w:shd w:fill="EFF0F1"/>
        </w:rPr>
        <w:t>openclaw.json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auth-profiles</w:t>
      </w:r>
      <w:r>
        <w:rPr>
          <w:rFonts w:eastAsia="等线" w:ascii="Arial" w:cs="Arial" w:hAnsi="Arial"/>
          <w:sz w:val="22"/>
        </w:rPr>
        <w:t>，重启一下网关之后</w:t>
      </w:r>
      <w:r>
        <w:rPr>
          <w:rFonts w:eastAsia="Consolas" w:ascii="Consolas" w:cs="Consolas" w:hAnsi="Consolas"/>
          <w:sz w:val="22"/>
          <w:shd w:fill="EFF0F1"/>
        </w:rPr>
        <w:t>models.json</w:t>
      </w:r>
      <w:r>
        <w:rPr>
          <w:rFonts w:eastAsia="等线" w:ascii="Arial" w:cs="Arial" w:hAnsi="Arial"/>
          <w:sz w:val="22"/>
        </w:rPr>
        <w:t>也会自动加上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API获取链接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阿里云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华北2（北京）</w:t>
      </w:r>
      <w:r>
        <w:rPr>
          <w:rFonts w:eastAsia="等线" w:ascii="Arial" w:cs="Arial" w:hAnsi="Arial"/>
          <w:sz w:val="22"/>
        </w:rPr>
        <w:t>https://bailian.console.aliyun.com/cn-beijing?spm=a2c4g.11186623.0.0.33283011rldE1S&amp;tab=model#/api-key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新加坡 </w:t>
      </w:r>
      <w:r>
        <w:rPr>
          <w:rFonts w:eastAsia="等线" w:ascii="Arial" w:cs="Arial" w:hAnsi="Arial"/>
          <w:sz w:val="22"/>
        </w:rPr>
        <w:t>https://modelstudio.console.aliyun.com/ap-southeast-1?spm=a2c4g.11186623.0.0.33283011rldE1S&amp;tab=model#/api-key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美国（弗吉尼亚）</w:t>
      </w:r>
      <w:r>
        <w:rPr>
          <w:rFonts w:eastAsia="等线" w:ascii="Arial" w:cs="Arial" w:hAnsi="Arial"/>
          <w:sz w:val="22"/>
        </w:rPr>
        <w:t>https://modelstudio.console.aliyun.com/us-east-1?spm=a2c4g.11186623.0.0.33283011rldE1S&amp;tab=model#/api-key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models.providers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智谱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https://open.bigmodel.cn/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DeepSeek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https://platform.deepseek.com/sign_in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Moonshot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https://platform.moonshot.cn/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小米 MiMo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https://platform.xiaomimimo.com/#/docs/welcome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907">
    <w:lvl>
      <w:numFmt w:val="bullet"/>
      <w:suff w:val="tab"/>
      <w:lvlText w:val="•"/>
      <w:rPr>
        <w:color w:val="3370ff"/>
      </w:rPr>
    </w:lvl>
  </w:abstractNum>
  <w:abstractNum w:abstractNumId="89908">
    <w:lvl>
      <w:numFmt w:val="bullet"/>
      <w:suff w:val="tab"/>
      <w:lvlText w:val="•"/>
      <w:rPr>
        <w:color w:val="3370ff"/>
      </w:rPr>
    </w:lvl>
  </w:abstractNum>
  <w:abstractNum w:abstractNumId="89909">
    <w:lvl>
      <w:numFmt w:val="bullet"/>
      <w:suff w:val="tab"/>
      <w:lvlText w:val="•"/>
      <w:rPr>
        <w:color w:val="3370ff"/>
      </w:rPr>
    </w:lvl>
  </w:abstractNum>
  <w:abstractNum w:abstractNumId="89910">
    <w:lvl>
      <w:numFmt w:val="bullet"/>
      <w:suff w:val="tab"/>
      <w:lvlText w:val="•"/>
      <w:rPr>
        <w:color w:val="3370ff"/>
      </w:rPr>
    </w:lvl>
  </w:abstractNum>
  <w:abstractNum w:abstractNumId="89911">
    <w:lvl>
      <w:numFmt w:val="bullet"/>
      <w:suff w:val="tab"/>
      <w:lvlText w:val="￮"/>
      <w:rPr>
        <w:color w:val="3370ff"/>
      </w:rPr>
    </w:lvl>
  </w:abstractNum>
  <w:abstractNum w:abstractNumId="89912">
    <w:lvl>
      <w:numFmt w:val="bullet"/>
      <w:suff w:val="tab"/>
      <w:lvlText w:val="•"/>
      <w:rPr>
        <w:color w:val="3370ff"/>
      </w:rPr>
    </w:lvl>
  </w:abstractNum>
  <w:abstractNum w:abstractNumId="89913">
    <w:lvl>
      <w:numFmt w:val="bullet"/>
      <w:suff w:val="tab"/>
      <w:lvlText w:val="•"/>
      <w:rPr>
        <w:color w:val="3370ff"/>
      </w:rPr>
    </w:lvl>
  </w:abstractNum>
  <w:abstractNum w:abstractNumId="89914">
    <w:lvl>
      <w:numFmt w:val="bullet"/>
      <w:suff w:val="tab"/>
      <w:lvlText w:val="￮"/>
      <w:rPr>
        <w:color w:val="3370ff"/>
      </w:rPr>
    </w:lvl>
  </w:abstractNum>
  <w:abstractNum w:abstractNumId="89915">
    <w:lvl>
      <w:numFmt w:val="bullet"/>
      <w:suff w:val="tab"/>
      <w:lvlText w:val="￮"/>
      <w:rPr>
        <w:color w:val="3370ff"/>
      </w:rPr>
    </w:lvl>
  </w:abstractNum>
  <w:abstractNum w:abstractNumId="89916">
    <w:lvl>
      <w:numFmt w:val="bullet"/>
      <w:suff w:val="tab"/>
      <w:lvlText w:val="•"/>
      <w:rPr>
        <w:color w:val="3370ff"/>
      </w:rPr>
    </w:lvl>
  </w:abstractNum>
  <w:abstractNum w:abstractNumId="89917">
    <w:lvl>
      <w:numFmt w:val="bullet"/>
      <w:suff w:val="tab"/>
      <w:lvlText w:val="￮"/>
      <w:rPr>
        <w:color w:val="3370ff"/>
      </w:rPr>
    </w:lvl>
  </w:abstractNum>
  <w:abstractNum w:abstractNumId="89918">
    <w:lvl>
      <w:numFmt w:val="bullet"/>
      <w:suff w:val="tab"/>
      <w:lvlText w:val="￮"/>
      <w:rPr>
        <w:color w:val="3370ff"/>
      </w:rPr>
    </w:lvl>
  </w:abstractNum>
  <w:abstractNum w:abstractNumId="89919">
    <w:lvl>
      <w:numFmt w:val="bullet"/>
      <w:suff w:val="tab"/>
      <w:lvlText w:val="•"/>
      <w:rPr>
        <w:color w:val="3370ff"/>
      </w:rPr>
    </w:lvl>
  </w:abstractNum>
  <w:abstractNum w:abstractNumId="89920">
    <w:lvl>
      <w:numFmt w:val="bullet"/>
      <w:suff w:val="tab"/>
      <w:lvlText w:val="￮"/>
      <w:rPr>
        <w:color w:val="3370ff"/>
      </w:rPr>
    </w:lvl>
  </w:abstractNum>
  <w:abstractNum w:abstractNumId="89921">
    <w:lvl>
      <w:numFmt w:val="bullet"/>
      <w:suff w:val="tab"/>
      <w:lvlText w:val="￮"/>
      <w:rPr>
        <w:color w:val="3370ff"/>
      </w:rPr>
    </w:lvl>
  </w:abstractNum>
  <w:abstractNum w:abstractNumId="89922">
    <w:lvl>
      <w:numFmt w:val="bullet"/>
      <w:suff w:val="tab"/>
      <w:lvlText w:val="•"/>
      <w:rPr>
        <w:color w:val="3370ff"/>
      </w:rPr>
    </w:lvl>
  </w:abstractNum>
  <w:abstractNum w:abstractNumId="89923">
    <w:lvl>
      <w:numFmt w:val="bullet"/>
      <w:suff w:val="tab"/>
      <w:lvlText w:val="￮"/>
      <w:rPr>
        <w:color w:val="3370ff"/>
      </w:rPr>
    </w:lvl>
  </w:abstractNum>
  <w:abstractNum w:abstractNumId="89924">
    <w:lvl>
      <w:numFmt w:val="bullet"/>
      <w:suff w:val="tab"/>
      <w:lvlText w:val="￮"/>
      <w:rPr>
        <w:color w:val="3370ff"/>
      </w:rPr>
    </w:lvl>
  </w:abstractNum>
  <w:num w:numId="1">
    <w:abstractNumId w:val="89907"/>
  </w:num>
  <w:num w:numId="2">
    <w:abstractNumId w:val="89908"/>
  </w:num>
  <w:num w:numId="3">
    <w:abstractNumId w:val="89909"/>
  </w:num>
  <w:num w:numId="4">
    <w:abstractNumId w:val="89910"/>
  </w:num>
  <w:num w:numId="5">
    <w:abstractNumId w:val="89911"/>
  </w:num>
  <w:num w:numId="6">
    <w:abstractNumId w:val="89912"/>
  </w:num>
  <w:num w:numId="7">
    <w:abstractNumId w:val="89913"/>
  </w:num>
  <w:num w:numId="8">
    <w:abstractNumId w:val="89914"/>
  </w:num>
  <w:num w:numId="9">
    <w:abstractNumId w:val="89915"/>
  </w:num>
  <w:num w:numId="10">
    <w:abstractNumId w:val="89916"/>
  </w:num>
  <w:num w:numId="11">
    <w:abstractNumId w:val="89917"/>
  </w:num>
  <w:num w:numId="12">
    <w:abstractNumId w:val="89918"/>
  </w:num>
  <w:num w:numId="13">
    <w:abstractNumId w:val="89919"/>
  </w:num>
  <w:num w:numId="14">
    <w:abstractNumId w:val="89920"/>
  </w:num>
  <w:num w:numId="15">
    <w:abstractNumId w:val="89921"/>
  </w:num>
  <w:num w:numId="16">
    <w:abstractNumId w:val="89922"/>
  </w:num>
  <w:num w:numId="17">
    <w:abstractNumId w:val="89923"/>
  </w:num>
  <w:num w:numId="18">
    <w:abstractNumId w:val="899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y.feishu.cn/wiki/IghVwY86tiQkfVkGRj7ca4KQnUf#share-N3KHdfaodo2tDexlNTscSlESn6d" TargetMode="External" Type="http://schemas.openxmlformats.org/officeDocument/2006/relationships/hyperlink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2026-03-25T01:37:02Z</dcterms:created>
  <dc:creator>Apache POI</dc:creator>
</cp:coreProperties>
</file>