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TraceMantle Agent Implementation Plan</w:t>
      </w:r>
    </w:p>
    <w:p>
      <w:r>
        <w:t>Implement TraceMantle as a local Python tool for agent skill validation, dependency-aware change analysis, and release-evidence comparison. Complete the technical repairs, product workflow, internal rename, migration support, documentation, and verification described here. The owner will rename the GitHub repository manually after implementation.</w:t>
      </w:r>
    </w:p>
    <w:p>
      <w:r>
        <w:t>This is the operative build plan. It supersedes the earlier research roadmap and its instruction to defer all internal naming changes. Keep this document at docs/SkillCheck_Technical_Debt_and_Product_Plan.docx during implementation so existing task references remain valid.</w:t>
      </w:r>
    </w:p>
    <w:p>
      <w:pPr>
        <w:pStyle w:val="Heading2"/>
      </w:pPr>
      <w:r>
        <w:t>Execution contract</w:t>
      </w:r>
    </w:p>
    <w:p>
      <w:r>
        <w:t>Act as a world-class principal Python engineer specializing in static analysis, developer tooling, and verification infrastructure. Read all applicable AGENTS.md and CLAUDE.md files, including lowercase variants and scoped parent or nested instructions, before editing. Follow instruction precedence, preserve unrelated changes, and work in independently reviewable increments.</w:t>
      </w:r>
    </w:p>
    <w:p>
      <w:r>
        <w:t>Read this entire document and the current architecture, contributor guidance, packaging, CI, release, and remediation records. The earlier audit used commit b540a3f047bf411170e8cb95bbe630ca7bf96c14, version 1.5.0. Reproduce findings against the current checkout; retain fixes already present. Do not assume historical observations remain current.</w:t>
      </w:r>
    </w:p>
    <w:p>
      <w:r>
        <w:t>Record a fresh baseline for tests, lint, strict typing, installed-artifact behavior, and performance. Maintain docs/implementation-status.md with requirement ID, status, implementation locations, executed acceptance checks, and concrete blockers. Resume from that ledger after interruption.</w:t>
      </w:r>
    </w:p>
    <w:p>
      <w:pPr>
        <w:pStyle w:val="Heading2"/>
      </w:pPr>
      <w:r>
        <w:t>Engineering rules</w:t>
      </w:r>
    </w:p>
    <w:p>
      <w:r>
        <w:t>Use idiomatic typed Python, cohesive functions, explicit data flow, and clear domain names. Separate pure analysis from I/O, rendering, and process exit. Keep comments brief and limited to non-obvious reasons or invariants. Preserve useful existing abstractions; avoid speculative frameworks, redundant layers, mutable global configuration, repeated parsing, and broad exception swallowing.</w:t>
      </w:r>
    </w:p>
    <w:p>
      <w:r>
        <w:t>Required paths must be implemented and integrated. Do not leave stubs, silently weaken validation, lower quality gates, or change tests merely to obtain green results. Optimize measured work without sacrificing correctness. Document justified design decisions and observable compatibility changes.</w:t>
      </w:r>
    </w:p>
    <w:p>
      <w:pPr>
        <w:pStyle w:val="Heading2"/>
      </w:pPr>
      <w:r>
        <w:t>Scope and completion boundary</w:t>
      </w:r>
    </w:p>
    <w:p>
      <w:r>
        <w:t>Complete all engineering requirements R01, D01–D14, and P01–P04. Product implementation is authorized and is not blocked by market research, customer interviews, beta adoption, or pricing decisions. Do not create a hosted service, agent execution platform, registry, dashboard, IDE extension, or automatic skill rewriter.</w:t>
      </w:r>
    </w:p>
    <w:p>
      <w:r>
        <w:t>Prepare and verify release artifacts locally. Do not rename the remote repository, change git remotes, publish packages, create a public release, deploy, or contact users. Report unavailable external checks accurately; never fabricate successful agent runs, CI results, demand, or universal safety guarantees.</w:t>
      </w:r>
    </w:p>
    <w:p>
      <w:pPr>
        <w:pStyle w:val="Heading1"/>
      </w:pPr>
      <w:r>
        <w:t>R01 Implement the TraceMantle identity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84"/>
      </w:tblGrid>
      <w:tr>
        <w:trPr>
          <w:tblHeader/>
        </w:trPr>
        <w:tc>
          <w:tcPr>
            <w:tcW w:type="dxa" w:w="3096"/>
            <w:vAlign w:val="center"/>
            <w:shd w:fill="3A3A3A"/>
            <w:tcMar>
              <w:top w:w="90" w:type="dxa"/>
              <w:left w:w="90" w:type="dxa"/>
              <w:bottom w:w="90" w:type="dxa"/>
              <w:right w:w="90" w:type="dxa"/>
            </w:tcMar>
          </w:tcPr>
          <w:p>
            <w:pPr>
              <w:spacing w:after="40" w:line="240" w:lineRule="auto"/>
            </w:pPr>
            <w:r>
              <w:rPr>
                <w:b/>
                <w:color w:val="FFFFFF"/>
                <w:sz w:val="20"/>
              </w:rPr>
              <w:t>Surface</w:t>
            </w:r>
          </w:p>
        </w:tc>
        <w:tc>
          <w:tcPr>
            <w:tcW w:type="dxa" w:w="6984"/>
            <w:vAlign w:val="center"/>
            <w:shd w:fill="3A3A3A"/>
            <w:tcMar>
              <w:top w:w="90" w:type="dxa"/>
              <w:left w:w="90" w:type="dxa"/>
              <w:bottom w:w="90" w:type="dxa"/>
              <w:right w:w="90" w:type="dxa"/>
            </w:tcMar>
          </w:tcPr>
          <w:p>
            <w:pPr>
              <w:spacing w:after="40" w:line="240" w:lineRule="auto"/>
            </w:pPr>
            <w:r>
              <w:rPr>
                <w:b/>
                <w:color w:val="FFFFFF"/>
                <w:sz w:val="20"/>
              </w:rPr>
              <w:t>Required identity or behavior</w:t>
            </w:r>
          </w:p>
        </w:tc>
      </w:tr>
      <w:tr>
        <w:trPr>
          <w:cantSplit/>
        </w:trPr>
        <w:tc>
          <w:tcPr>
            <w:tcW w:type="dxa" w:w="3096"/>
            <w:vAlign w:val="center"/>
            <w:shd w:fill="FFFFFF"/>
            <w:tcMar>
              <w:top w:w="90" w:type="dxa"/>
              <w:left w:w="90" w:type="dxa"/>
              <w:bottom w:w="90" w:type="dxa"/>
              <w:right w:w="90" w:type="dxa"/>
            </w:tcMar>
          </w:tcPr>
          <w:p>
            <w:pPr>
              <w:spacing w:after="40" w:line="240" w:lineRule="auto"/>
            </w:pPr>
            <w:r>
              <w:rPr>
                <w:sz w:val="20"/>
              </w:rPr>
              <w:t>Product name</w:t>
            </w:r>
          </w:p>
        </w:tc>
        <w:tc>
          <w:tcPr>
            <w:tcW w:type="dxa" w:w="6984"/>
            <w:vAlign w:val="center"/>
            <w:shd w:fill="FFFFFF"/>
            <w:tcMar>
              <w:top w:w="90" w:type="dxa"/>
              <w:left w:w="90" w:type="dxa"/>
              <w:bottom w:w="90" w:type="dxa"/>
              <w:right w:w="90" w:type="dxa"/>
            </w:tcMar>
          </w:tcPr>
          <w:p>
            <w:pPr>
              <w:spacing w:after="40" w:line="240" w:lineRule="auto"/>
            </w:pPr>
            <w:r>
              <w:rPr>
                <w:sz w:val="20"/>
              </w:rPr>
              <w:t>TraceMantle</w:t>
            </w:r>
          </w:p>
        </w:tc>
      </w:tr>
      <w:tr>
        <w:trPr>
          <w:cantSplit/>
        </w:trPr>
        <w:tc>
          <w:tcPr>
            <w:tcW w:type="dxa" w:w="3096"/>
            <w:vAlign w:val="center"/>
            <w:shd w:fill="F4F4F4"/>
            <w:tcMar>
              <w:top w:w="90" w:type="dxa"/>
              <w:left w:w="90" w:type="dxa"/>
              <w:bottom w:w="90" w:type="dxa"/>
              <w:right w:w="90" w:type="dxa"/>
            </w:tcMar>
          </w:tcPr>
          <w:p>
            <w:pPr>
              <w:spacing w:after="40" w:line="240" w:lineRule="auto"/>
            </w:pPr>
            <w:r>
              <w:rPr>
                <w:sz w:val="20"/>
              </w:rPr>
              <w:t>Distribution and Python package</w:t>
            </w:r>
          </w:p>
        </w:tc>
        <w:tc>
          <w:tcPr>
            <w:tcW w:type="dxa" w:w="6984"/>
            <w:vAlign w:val="center"/>
            <w:shd w:fill="F4F4F4"/>
            <w:tcMar>
              <w:top w:w="90" w:type="dxa"/>
              <w:left w:w="90" w:type="dxa"/>
              <w:bottom w:w="90" w:type="dxa"/>
              <w:right w:w="90" w:type="dxa"/>
            </w:tcMar>
          </w:tcPr>
          <w:p>
            <w:pPr>
              <w:spacing w:after="40" w:line="240" w:lineRule="auto"/>
            </w:pPr>
            <w:r>
              <w:rPr>
                <w:sz w:val="20"/>
              </w:rPr>
              <w:t>tracemantle; src/tracemantle; imports from tracemantle</w:t>
            </w:r>
          </w:p>
        </w:tc>
      </w:tr>
      <w:tr>
        <w:trPr>
          <w:cantSplit/>
        </w:trPr>
        <w:tc>
          <w:tcPr>
            <w:tcW w:type="dxa" w:w="3096"/>
            <w:vAlign w:val="center"/>
            <w:shd w:fill="FFFFFF"/>
            <w:tcMar>
              <w:top w:w="90" w:type="dxa"/>
              <w:left w:w="90" w:type="dxa"/>
              <w:bottom w:w="90" w:type="dxa"/>
              <w:right w:w="90" w:type="dxa"/>
            </w:tcMar>
          </w:tcPr>
          <w:p>
            <w:pPr>
              <w:spacing w:after="40" w:line="240" w:lineRule="auto"/>
            </w:pPr>
            <w:r>
              <w:rPr>
                <w:sz w:val="20"/>
              </w:rPr>
              <w:t>Primary entry points</w:t>
            </w:r>
          </w:p>
        </w:tc>
        <w:tc>
          <w:tcPr>
            <w:tcW w:type="dxa" w:w="6984"/>
            <w:vAlign w:val="center"/>
            <w:shd w:fill="FFFFFF"/>
            <w:tcMar>
              <w:top w:w="90" w:type="dxa"/>
              <w:left w:w="90" w:type="dxa"/>
              <w:bottom w:w="90" w:type="dxa"/>
              <w:right w:w="90" w:type="dxa"/>
            </w:tcMar>
          </w:tcPr>
          <w:p>
            <w:pPr>
              <w:spacing w:after="40" w:line="240" w:lineRule="auto"/>
            </w:pPr>
            <w:r>
              <w:rPr>
                <w:sz w:val="20"/>
              </w:rPr>
              <w:t>tracemantle and python -m tracemantle</w:t>
            </w:r>
          </w:p>
        </w:tc>
      </w:tr>
      <w:tr>
        <w:trPr>
          <w:cantSplit/>
        </w:trPr>
        <w:tc>
          <w:tcPr>
            <w:tcW w:type="dxa" w:w="3096"/>
            <w:vAlign w:val="center"/>
            <w:shd w:fill="F4F4F4"/>
            <w:tcMar>
              <w:top w:w="90" w:type="dxa"/>
              <w:left w:w="90" w:type="dxa"/>
              <w:bottom w:w="90" w:type="dxa"/>
              <w:right w:w="90" w:type="dxa"/>
            </w:tcMar>
          </w:tcPr>
          <w:p>
            <w:pPr>
              <w:spacing w:after="40" w:line="240" w:lineRule="auto"/>
            </w:pPr>
            <w:r>
              <w:rPr>
                <w:sz w:val="20"/>
              </w:rPr>
              <w:t>Configuration namespace</w:t>
            </w:r>
          </w:p>
        </w:tc>
        <w:tc>
          <w:tcPr>
            <w:tcW w:type="dxa" w:w="6984"/>
            <w:vAlign w:val="center"/>
            <w:shd w:fill="F4F4F4"/>
            <w:tcMar>
              <w:top w:w="90" w:type="dxa"/>
              <w:left w:w="90" w:type="dxa"/>
              <w:bottom w:w="90" w:type="dxa"/>
              <w:right w:w="90" w:type="dxa"/>
            </w:tcMar>
          </w:tcPr>
          <w:p>
            <w:pPr>
              <w:spacing w:after="40" w:line="240" w:lineRule="auto"/>
            </w:pPr>
            <w:r>
              <w:rPr>
                <w:sz w:val="20"/>
              </w:rPr>
              <w:t>[tool.tracemantle]; TRACEMANTLE_ for existing supported environment settings</w:t>
            </w:r>
          </w:p>
        </w:tc>
      </w:tr>
      <w:tr>
        <w:trPr>
          <w:cantSplit/>
        </w:trPr>
        <w:tc>
          <w:tcPr>
            <w:tcW w:type="dxa" w:w="3096"/>
            <w:vAlign w:val="center"/>
            <w:shd w:fill="FFFFFF"/>
            <w:tcMar>
              <w:top w:w="90" w:type="dxa"/>
              <w:left w:w="90" w:type="dxa"/>
              <w:bottom w:w="90" w:type="dxa"/>
              <w:right w:w="90" w:type="dxa"/>
            </w:tcMar>
          </w:tcPr>
          <w:p>
            <w:pPr>
              <w:spacing w:after="40" w:line="240" w:lineRule="auto"/>
            </w:pPr>
            <w:r>
              <w:rPr>
                <w:sz w:val="20"/>
              </w:rPr>
              <w:t>New reports and examples</w:t>
            </w:r>
          </w:p>
        </w:tc>
        <w:tc>
          <w:tcPr>
            <w:tcW w:type="dxa" w:w="6984"/>
            <w:vAlign w:val="center"/>
            <w:shd w:fill="FFFFFF"/>
            <w:tcMar>
              <w:top w:w="90" w:type="dxa"/>
              <w:left w:w="90" w:type="dxa"/>
              <w:bottom w:w="90" w:type="dxa"/>
              <w:right w:w="90" w:type="dxa"/>
            </w:tcMar>
          </w:tcPr>
          <w:p>
            <w:pPr>
              <w:spacing w:after="40" w:line="240" w:lineRule="auto"/>
            </w:pPr>
            <w:r>
              <w:rPr>
                <w:sz w:val="20"/>
              </w:rPr>
              <w:t>TraceMantle branding; explicit tool and schema versions</w:t>
            </w:r>
          </w:p>
        </w:tc>
      </w:tr>
      <w:tr>
        <w:trPr>
          <w:cantSplit/>
        </w:trPr>
        <w:tc>
          <w:tcPr>
            <w:tcW w:type="dxa" w:w="3096"/>
            <w:vAlign w:val="center"/>
            <w:shd w:fill="F4F4F4"/>
            <w:tcMar>
              <w:top w:w="90" w:type="dxa"/>
              <w:left w:w="90" w:type="dxa"/>
              <w:bottom w:w="90" w:type="dxa"/>
              <w:right w:w="90" w:type="dxa"/>
            </w:tcMar>
          </w:tcPr>
          <w:p>
            <w:pPr>
              <w:spacing w:after="40" w:line="240" w:lineRule="auto"/>
            </w:pPr>
            <w:r>
              <w:rPr>
                <w:sz w:val="20"/>
              </w:rPr>
              <w:t>Remote repository during build</w:t>
            </w:r>
          </w:p>
        </w:tc>
        <w:tc>
          <w:tcPr>
            <w:tcW w:type="dxa" w:w="6984"/>
            <w:vAlign w:val="center"/>
            <w:shd w:fill="F4F4F4"/>
            <w:tcMar>
              <w:top w:w="90" w:type="dxa"/>
              <w:left w:w="90" w:type="dxa"/>
              <w:bottom w:w="90" w:type="dxa"/>
              <w:right w:w="90" w:type="dxa"/>
            </w:tcMar>
          </w:tcPr>
          <w:p>
            <w:pPr>
              <w:spacing w:after="40" w:line="240" w:lineRule="auto"/>
            </w:pPr>
            <w:r>
              <w:rPr>
                <w:sz w:val="20"/>
              </w:rPr>
              <w:t>moonrunnerkc/skillcheck until the owner manually renames it</w:t>
            </w:r>
          </w:p>
        </w:tc>
      </w:tr>
    </w:tbl>
    <w:p>
      <w:pPr>
        <w:spacing w:after="20"/>
      </w:pPr>
    </w:p>
    <w:p>
      <w:r>
        <w:t>Inventory name-bearing surfaces before editing: package metadata, source paths, entry points, public imports, configuration, data paths, schemas, tests, fixtures, build scripts, CI, documentation, badges, and links. Rename active implementation and product text deliberately. Preserve historical changelog entries, third-party names, legacy fixtures, and compatibility identifiers where their meaning requires the old name.</w:t>
      </w:r>
    </w:p>
    <w:p>
      <w:pPr>
        <w:pStyle w:val="Heading2"/>
      </w:pPr>
      <w:r>
        <w:t>Compatibility requirements</w:t>
      </w:r>
    </w:p>
    <w:p>
      <w:r>
        <w:t>Make the canonical CLI and package tracemantle. Do not install a skillcheck executable by default. If a compatibility command is needed, document an explicit opt-in mechanism rather than preserving the command collision. Retain documented public Python imports through thin deprecated wrappers where packaging permits; otherwise define the breaking migration explicitly and test it.</w:t>
      </w:r>
    </w:p>
    <w:p>
      <w:r>
        <w:t>Accept existing SkillCheck configuration during a documented transition. Define precedence as defaults, legacy configuration, TraceMantle configuration, then explicitly supplied CLI values. Resolve precedence per field and project root. Warn about legacy usage on stderr without contaminating machine-readable stdout. Keep schema content versions and historical identifiers stable unless their structure changes; new identity must not silently reinterpret old data.</w:t>
      </w:r>
    </w:p>
    <w:p>
      <w:r>
        <w:t>Read legacy history and migrate only through an explicit command. Preserve originals, define destination and overwrite rules, and make repeated migration safe. Store new evidence outside the skill bundle. Do not delete user data or silently move it on import or ordinary validation.</w:t>
      </w:r>
    </w:p>
    <w:p>
      <w:r>
        <w:t>Document clean-environment installation and migration from the old distribution. A renamed PyPI project is a different distribution, not an automatic upgrade of skillcheck. Test the supported old-to-new uninstall/install sequence and import wrappers; do not assume both distributions can safely own the same files. Do not uninstall or overwrite an unrelated product with the same command name.</w:t>
      </w:r>
    </w:p>
    <w:p>
      <w:pPr>
        <w:pStyle w:val="Heading2"/>
      </w:pPr>
      <w:r>
        <w:t>Prepare for the manual GitHub rename</w:t>
      </w:r>
    </w:p>
    <w:p>
      <w:r>
        <w:t>Keep working repository links pointed at the current repository until the owner renames it. Prefer relative documentation links and github.repository in workflows where appropriate. Record remaining absolute links and owner-managed settings in docs/rename-checklist.md. Avoid a global replacement that creates broken future URLs.</w:t>
      </w:r>
    </w:p>
    <w:p>
      <w:r>
        <w:t>The handoff checklist must cover the intended moonrunnerkc/tracemantle URL, project metadata and badges, git remote instructions, installed examples, GitHub Actions references, release settings, and PyPI trusted-publisher configuration for the new distribution and repository. Package-name ownership and publisher provisioning remain owner actions. Build verification must work before those actions and must never publish to the old distribution accidentally.</w:t>
      </w:r>
    </w:p>
    <w:p>
      <w:r>
        <w:t>Acceptance: clean wheel and source installs expose tracemantle; module execution and supported imports work; help, diagnostics, schemas, and examples identify TraceMantle; legacy migration tests pass; default installation adds no skillcheck executable; current CI works without a remote rename. Review every remaining skillcheck occurrence and classify it as intentional or fix it.</w:t>
      </w:r>
    </w:p>
    <w:p>
      <w:pPr>
        <w:pStyle w:val="Heading1"/>
      </w:pPr>
      <w:r>
        <w:t>D01 through D05 Correct parsing and input handling</w:t>
      </w:r>
    </w:p>
    <w:p>
      <w:pPr>
        <w:pStyle w:val="Heading2"/>
      </w:pPr>
      <w:r>
        <w:t>D01 Standard conformance and profiles</w:t>
      </w:r>
    </w:p>
    <w:p>
      <w:r>
        <w:t>Separate standard rules, versioned vendor extensions, and optional quality advice. Correct the standard classification of license, metadata, and compatibility. Validate compatibility type and length and metadata mappings. Pin a reference corpus and document Unicode normalization and naming divergences. Store source, revision, and runtime applicability for vendor claims.</w:t>
      </w:r>
    </w:p>
    <w:p>
      <w:pPr>
        <w:spacing w:after="180"/>
      </w:pPr>
      <w:r>
        <w:t>Acceptance: Valid standard fields receive no false vendor-only or unknown-field diagnostics. Shared conformance cases agree with the pinned reference, with intentional divergences documented. Unverified vendor behavior is explicit.</w:t>
      </w:r>
    </w:p>
    <w:p>
      <w:pPr>
        <w:pStyle w:val="Heading2"/>
      </w:pPr>
      <w:r>
        <w:t>D02 Frontmatter boundaries and YAML structure</w:t>
      </w:r>
    </w:p>
    <w:p>
      <w:r>
        <w:t>Replace ambiguous delimiter matching with line-based frontmatter boundaries. Reject duplicate keys and unsupported mapping-key types. Retain source spans and specify BOM, CRLF, empty blocks, multiline values, and alias behavior. Historical reproductions include an inline closing delimiter and silently accepted duplicate name keys.</w:t>
      </w:r>
    </w:p>
    <w:p>
      <w:pPr>
        <w:spacing w:after="180"/>
      </w:pPr>
      <w:r>
        <w:t>Acceptance: Malformed delimiters and duplicates fail cleanly. Valid multiline frontmatter remains valid. Diagnostics use correct full-file locations.</w:t>
      </w:r>
    </w:p>
    <w:p>
      <w:pPr>
        <w:pStyle w:val="Heading2"/>
      </w:pPr>
      <w:r>
        <w:t>D03 Bounded input and filesystem failures</w:t>
      </w:r>
    </w:p>
    <w:p>
      <w:r>
        <w:t>Read at most the byte limit plus one; bound YAML depth, nodes, aliases, total scanned bytes, file count, and graph traversal. Define regular-file and symlink policy. Normalize expected permission, resolution, encoding, recursion, and I/O failures into diagnostics without hiding unrelated defects.</w:t>
      </w:r>
    </w:p>
    <w:p>
      <w:pPr>
        <w:spacing w:after="180"/>
      </w:pPr>
      <w:r>
        <w:t>Acceptance: Deep YAML and symlink cycles cannot crash or hang a batch. Oversized or unreadable files yield useful diagnostics while unrelated inputs continue. Read-time growth cannot bypass the byte cap.</w:t>
      </w:r>
    </w:p>
    <w:p>
      <w:pPr>
        <w:pStyle w:val="Heading2"/>
      </w:pPr>
      <w:r>
        <w:t>D04 Tokenizer behavior and provenance</w:t>
      </w:r>
    </w:p>
    <w:p>
      <w:r>
        <w:t>Treat skill text as ordinary text even when it contains literal tiktoken special-token markers. Expose backend and version. Make cold-cache and offline behavior explicit: a documented local fallback with provenance or a clear tool error. Avoid silent threshold changes when an optional tokenizer is installed.</w:t>
      </w:r>
    </w:p>
    <w:p>
      <w:pPr>
        <w:spacing w:after="180"/>
      </w:pPr>
      <w:r>
        <w:t>Acceptance: Both backends handle literal token markers. Controlled cold-offline cases do not produce unexplained tracebacks. Reports identify the counting method used.</w:t>
      </w:r>
    </w:p>
    <w:p>
      <w:pPr>
        <w:pStyle w:val="Heading2"/>
      </w:pPr>
      <w:r>
        <w:t>D05 Display boundaries</w:t>
      </w:r>
    </w:p>
    <w:p>
      <w:r>
        <w:t>Escape untrusted terminal controls in source-derived diagnostics, paths, configuration, history, and imported responses. Apply context-appropriate handling to text, Markdown, and agent-oriented output. Keep machine data reversible and separate display escaping from validation.</w:t>
      </w:r>
    </w:p>
    <w:p>
      <w:pPr>
        <w:spacing w:after="180"/>
      </w:pPr>
      <w:r>
        <w:t>Acceptance: Untrusted C0/C1 controls cannot alter terminal presentation, including with no-color enabled. Legitimate Unicode and structured-output round trips remain correct.</w:t>
      </w:r>
    </w:p>
    <w:p>
      <w:pPr>
        <w:pStyle w:val="Heading1"/>
      </w:pPr>
      <w:r>
        <w:t>D06 through D10 Make analysis deterministic</w:t>
      </w:r>
    </w:p>
    <w:p>
      <w:pPr>
        <w:pStyle w:val="Heading2"/>
      </w:pPr>
      <w:r>
        <w:t>D06 Configuration and supported interpreters</w:t>
      </w:r>
    </w:p>
    <w:p>
      <w:r>
        <w:t>Replace the handwritten Python 3.10 TOML fallback with a suitable conditional parser dependency if 3.10 remains supported. Track explicitly provided CLI arguments. Merge immutable settings per project root using R01 precedence. Reject ambiguous mixed-root usage or resolve it consistently.</w:t>
      </w:r>
    </w:p>
    <w:p>
      <w:pPr>
        <w:spacing w:after="180"/>
      </w:pPr>
      <w:r>
        <w:t>Acceptance: Supported interpreters parse the same valid TOML and reject duplicates consistently. Explicit default-valued CLI arguments win. Repeated invocations do not leak global state.</w:t>
      </w:r>
    </w:p>
    <w:p>
      <w:pPr>
        <w:pStyle w:val="Heading2"/>
      </w:pPr>
      <w:r>
        <w:t>D07 Final report and diagnostic policy</w:t>
      </w:r>
    </w:p>
    <w:p>
      <w:r>
        <w:t>Merge all diagnostics before filtering, severity handling, strict policy, and exit calculation. Emit one documented JSON envelope or explicitly selected JSONL. Translate graph locations to full-file coordinates, deduplicate resolved input files, and separate each file result from the overall gate.</w:t>
      </w:r>
    </w:p>
    <w:p>
      <w:pPr>
        <w:spacing w:after="180"/>
      </w:pPr>
      <w:r>
        <w:t>Acceptance: Every advertised JSON mode parses. Ignored graph diagnostics behave consistently under strict mode. Input ordering and duplicate paths do not change results.</w:t>
      </w:r>
    </w:p>
    <w:p>
      <w:pPr>
        <w:pStyle w:val="Heading2"/>
      </w:pPr>
      <w:r>
        <w:t>D08 History validation and evidence migration</w:t>
      </w:r>
    </w:p>
    <w:p>
      <w:r>
        <w:t>Strictly validate history fields, including booleans and integers. Calculate final policy after history diagnostics. Replace mutable new ledgers with immutable per-run evidence records and safe indexing as needed. Retain a version-one reader. Prevent lost concurrent updates; atomic replacement alone is insufficient.</w:t>
      </w:r>
    </w:p>
    <w:p>
      <w:pPr>
        <w:spacing w:after="180"/>
      </w:pPr>
      <w:r>
        <w:t>Acceptance: A string false cannot be accepted as a boolean result. Malformed or incomparable history cannot create a pass. Concurrent writers preserve records, and migration leaves originals intact. A text hash alone is never treated as a complete revision comparison.</w:t>
      </w:r>
    </w:p>
    <w:p>
      <w:pPr>
        <w:pStyle w:val="Heading2"/>
      </w:pPr>
      <w:r>
        <w:t>D09 Markdown and resource dependencies</w:t>
      </w:r>
    </w:p>
    <w:p>
      <w:r>
        <w:t>Use shared Markdown tokenization with source spans. Distinguish fenced examples, real links, anchors, executable resources, generated outputs, and external schemes. Model bounded direct and transitive dependencies; directory nesting is not reference-chain depth.</w:t>
      </w:r>
    </w:p>
    <w:p>
      <w:pPr>
        <w:spacing w:after="180"/>
      </w:pPr>
      <w:r>
        <w:t>Acceptance: Fenced examples do not cause broken-link findings. Supported link syntax resolves consistently. Missing resources and cycles have deterministic diagnostics. Unknown dependencies cause conservative invalidation.</w:t>
      </w:r>
    </w:p>
    <w:p>
      <w:pPr>
        <w:pStyle w:val="Heading2"/>
      </w:pPr>
      <w:r>
        <w:t>D10 Shared parsed model</w:t>
      </w:r>
    </w:p>
    <w:p>
      <w:r>
        <w:t>Read and parse each source once into an immutable document model containing YAML, Markdown, source spans, and derived features. Reuse it across rules, graph extraction, scoring, and formatting. Preserve compatible path-based APIs as wrappers. Skip unnecessary quiet-mode rendering work.</w:t>
      </w:r>
    </w:p>
    <w:p>
      <w:pPr>
        <w:spacing w:after="180"/>
      </w:pPr>
      <w:r>
        <w:t>Acceptance: One full source parse occurs per skill in graph-and-report execution. Parsing limits remain enforced. Reports remain equivalent except for documented fixes. Benchmark the reduction before considering concurrency or persistent caches.</w:t>
      </w:r>
    </w:p>
    <w:p>
      <w:pPr>
        <w:pStyle w:val="Heading1"/>
      </w:pPr>
      <w:r>
        <w:t>D11 through D14 Make results and releases trustworthy</w:t>
      </w:r>
    </w:p>
    <w:p>
      <w:pPr>
        <w:pStyle w:val="Heading2"/>
      </w:pPr>
      <w:r>
        <w:t>D11 Imported evidence identity</w:t>
      </w:r>
    </w:p>
    <w:p>
      <w:r>
        <w:t>Require versioned envelopes binding evidence to bundle, fixture, checker, configuration, and execution context. Preserve original imports. Distinguish static analysis, observed execution, inferred traces, and model judgments. A selected agent label does not prove execution by that agent.</w:t>
      </w:r>
    </w:p>
    <w:p>
      <w:pPr>
        <w:spacing w:after="180"/>
      </w:pPr>
      <w:r>
        <w:t>Acceptance: Mismatched, stale, incomplete, or self-reported evidence cannot satisfy required behavioral checks. Trusted provenance is verified according to the configured trust policy, not merely read from a claimed runner-name field.</w:t>
      </w:r>
    </w:p>
    <w:p>
      <w:pPr>
        <w:pStyle w:val="Heading2"/>
      </w:pPr>
      <w:r>
        <w:t>D12 Reproducible release verification</w:t>
      </w:r>
    </w:p>
    <w:p>
      <w:r>
        <w:t>Reuse the full quality workflow for candidate releases and validate the exact wheel and source artifact. Retain attestations and trusted publishing with R01 migration safeguards. Lock or otherwise reproduce development/build dependencies without indiscriminately pinning consumer runtime requirements. Exercise optional tokenizer modes in CI.</w:t>
      </w:r>
    </w:p>
    <w:p>
      <w:pPr>
        <w:spacing w:after="180"/>
      </w:pPr>
      <w:r>
        <w:t>Acceptance: A candidate with a deliberate failed check cannot reach publishing. A clean installed wheel contains required schemas and py.typed and passes CLI acceptance checks. Supported OS/Python gates are configured, and locally executed results are distinguished from remote CI results.</w:t>
      </w:r>
    </w:p>
    <w:p>
      <w:pPr>
        <w:pStyle w:val="Heading2"/>
      </w:pPr>
      <w:r>
        <w:t>D13 Documentation and rule provenance</w:t>
      </w:r>
    </w:p>
    <w:p>
      <w:r>
        <w:t>Correct claims that skills-ref lacks a CLI or directory-name validation and remove exclusivity claims. Describe opt-in writes and optional downloads accurately. Generate rule IDs, configuration references, and examples from authoritative code where practical. Record evidence and version applicability for compatibility profiles; freshness dates alone do not prove behavior.</w:t>
      </w:r>
    </w:p>
    <w:p>
      <w:pPr>
        <w:spacing w:after="180"/>
      </w:pPr>
      <w:r>
        <w:t>Acceptance: Current documentation matches implemented behavior and TraceMantle naming. Examples are executable. Historical findings remain labeled historical, and unsupported loader behavior is not presented as tested.</w:t>
      </w:r>
    </w:p>
    <w:p>
      <w:pPr>
        <w:pStyle w:val="Heading2"/>
      </w:pPr>
      <w:r>
        <w:t>D14 Advisory calibration</w:t>
      </w:r>
    </w:p>
    <w:p>
      <w:r>
        <w:t>Use a versioned, licensed, held-out corpus spanning prose, code, languages, and sizes. Measure token estimation error separately from diagnostic false positives, false negatives, and abstentions. Keep keyword scores advisory. Do not claim trigger reliability or task success from static scores.</w:t>
      </w:r>
    </w:p>
    <w:p>
      <w:pPr>
        <w:spacing w:after="180"/>
      </w:pPr>
      <w:r>
        <w:t>Acceptance: Heuristic changes include before-and-after results on held-out cases. Claims identify their measured population. Insufficient calibration remains explicit rather than becoming fabricated certainty.</w:t>
      </w:r>
    </w:p>
    <w:p>
      <w:pPr>
        <w:pStyle w:val="Heading2"/>
      </w:pPr>
      <w:r>
        <w:t>Performance acceptance</w:t>
      </w:r>
    </w:p>
    <w:p>
      <w:r>
        <w:t>Establish fresh cold-CLI and warm-batch baselines at 1, 100, and 1,000 skills, plus large reference graphs, near-limit imports, growing history, and peak memory. Record corpus, environment, backend, cache state, repeated timings, and variability. The historical sub-second 1,000-file result excluded startup and reporting and is not a production guarantee.</w:t>
      </w:r>
    </w:p>
    <w:p>
      <w:r>
        <w:t>Target no more than a 10% median regression on representative workloads without a documented correctness justification, and at least 25% improvement on the repeated-parse graph/report workload. If current code already removed that redundancy, document the evidence and use the fresh baseline rather than forcing an artificial speedup. Bound memory and execution under adversarial input. Stop optional optimization when the justified budgets hold.</w:t>
      </w:r>
    </w:p>
    <w:p>
      <w:pPr>
        <w:pStyle w:val="Heading1"/>
      </w:pPr>
      <w:r>
        <w:t>P01 through P04 Build change and evidence comparison</w:t>
      </w:r>
    </w:p>
    <w:p>
      <w:pPr>
        <w:pStyle w:val="Heading2"/>
      </w:pPr>
      <w:r>
        <w:t>P01 Bundle manifests and dependency identity</w:t>
      </w:r>
    </w:p>
    <w:p>
      <w:r>
        <w:t>Create a canonical manifest covering skill content and packaged resources, normalized relative paths, relevant executable modes, and full SHA-256 digests. Define deterministic ordering, exclusions, ambiguous-path rejection, and symlink handling. Store generated evidence outside the evaluated bundle. A digest establishes identity, not correctness.</w:t>
      </w:r>
    </w:p>
    <w:p>
      <w:pPr>
        <w:spacing w:after="180"/>
      </w:pPr>
      <w:r>
        <w:t>Acceptance: An unchanged SKILL.md with a modified helper or schema produces a changed bundle. Equivalent canonical inputs reproduce the manifest. Unsupported or incomplete dependencies remain explicit.</w:t>
      </w:r>
    </w:p>
    <w:p>
      <w:pPr>
        <w:pStyle w:val="Heading2"/>
      </w:pPr>
      <w:r>
        <w:t>P02 Evidence storage and import</w:t>
      </w:r>
    </w:p>
    <w:p>
      <w:r>
        <w:t>Implement one documented, version-pinned Promptfoo export adapter behind a narrow interface. Use strict bounded schemas and preserve source artifacts. Record schema version, bundle and configuration digests, profile/checker/fixture identities, tokenizer, adapter/runner, model identity when known, observation method, time, permissions, and relevant environment assumptions without secrets.</w:t>
      </w:r>
    </w:p>
    <w:p>
      <w:pPr>
        <w:spacing w:after="180"/>
      </w:pPr>
      <w:r>
        <w:t>Acceptance: Use an authentic export fixture produced by the supported evaluator version or an attributable upstream fixture. Unsupported formats and unavailable identities return explicit unsupported or unknown results. Candidate-supplied data cannot execute code. Observed and inferred invocation semantics remain distinct.</w:t>
      </w:r>
    </w:p>
    <w:p>
      <w:pPr>
        <w:pStyle w:val="Heading2"/>
      </w:pPr>
      <w:r>
        <w:t>P03 Conservative comparison and release policy</w:t>
      </w:r>
    </w:p>
    <w:p>
      <w:r>
        <w:t>Compare baseline and candidate bundles with compatible evidence. Explain changed inputs, affected checks, invalidated evidence, reasons, and required reruns. Description changes invalidate routing cases for declared neighboring skills; helper/schema changes invalidate dependent cases; checker/profile changes invalidate governed results. Repeat the complete relevant suite when dependency coverage is incomplete.</w:t>
      </w:r>
    </w:p>
    <w:p>
      <w:pPr>
        <w:spacing w:after="180"/>
      </w:pPr>
      <w:r>
        <w:t>Acceptance: Use pass, fail, unknown, skipped, and infrastructure-error states with documented exit codes. Missing required evidence blocks release without pretending that a skill definitively failed. Static reuse requires matching declared inputs; behavioral reuse additionally requires compatible conditions and freshness. Hosted model aliases are not immutable versions.</w:t>
      </w:r>
    </w:p>
    <w:p>
      <w:pPr>
        <w:pStyle w:val="Heading2"/>
      </w:pPr>
      <w:r>
        <w:t>P04 CLI reports and trusted CI integration</w:t>
      </w:r>
    </w:p>
    <w:p>
      <w:r>
        <w:t>Provide integrated TraceMantle commands for manifest creation, evidence import, baseline/candidate comparison, and explicit legacy migration, following existing CLI conventions. Render concise text, versioned JSON, and GitHub annotations from one analysis result. Anchor policy and checkers to a trusted base revision; verify provenance through an explicit trust boundary. Keep comparison read-only apart from explicitly selected output destinations.</w:t>
      </w:r>
    </w:p>
    <w:p>
      <w:pPr>
        <w:spacing w:after="180"/>
      </w:pPr>
      <w:r>
        <w:t>Acceptance: End-to-end fixtures demonstrate a valid control, a helper-only change, a description/routing change, incompatible evidence, and missing evidence. Candidate-only changes cannot weaken the trusted gate. Machine output remains parseable and annotations point to real locations. TraceMantle imports evaluator output without owning agent execution.</w:t>
      </w:r>
    </w:p>
    <w:p>
      <w:r>
        <w:t>Use 30–50 focused initial fixtures with valid controls and intentionally malformed or missing evidence. Keep a held-out source family and record redistribution permissions. Synthetic records may test parser rejection but must not be presented as real executions. Run empirical cases only when an authorized runtime is available; otherwise report the unexecuted boundary precisely.</w:t>
      </w:r>
    </w:p>
    <w:p>
      <w:pPr>
        <w:pStyle w:val="Heading1"/>
      </w:pPr>
      <w:r>
        <w:t>Build sequence and final acceptance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4752"/>
        <w:gridCol w:w="4464"/>
      </w:tblGrid>
      <w:tr>
        <w:trPr>
          <w:tblHeader/>
        </w:trPr>
        <w:tc>
          <w:tcPr>
            <w:tcW w:type="dxa" w:w="864"/>
            <w:vAlign w:val="center"/>
            <w:shd w:fill="3A3A3A"/>
            <w:tcMar>
              <w:top w:w="90" w:type="dxa"/>
              <w:left w:w="90" w:type="dxa"/>
              <w:bottom w:w="90" w:type="dxa"/>
              <w:right w:w="90" w:type="dxa"/>
            </w:tcMar>
          </w:tcPr>
          <w:p>
            <w:pPr>
              <w:spacing w:after="40" w:line="240" w:lineRule="auto"/>
            </w:pPr>
            <w:r>
              <w:rPr>
                <w:b/>
                <w:color w:val="FFFFFF"/>
                <w:sz w:val="20"/>
              </w:rPr>
              <w:t>Stage</w:t>
            </w:r>
          </w:p>
        </w:tc>
        <w:tc>
          <w:tcPr>
            <w:tcW w:type="dxa" w:w="4752"/>
            <w:vAlign w:val="center"/>
            <w:shd w:fill="3A3A3A"/>
            <w:tcMar>
              <w:top w:w="90" w:type="dxa"/>
              <w:left w:w="90" w:type="dxa"/>
              <w:bottom w:w="90" w:type="dxa"/>
              <w:right w:w="90" w:type="dxa"/>
            </w:tcMar>
          </w:tcPr>
          <w:p>
            <w:pPr>
              <w:spacing w:after="40" w:line="240" w:lineRule="auto"/>
            </w:pPr>
            <w:r>
              <w:rPr>
                <w:b/>
                <w:color w:val="FFFFFF"/>
                <w:sz w:val="20"/>
              </w:rPr>
              <w:t>Work</w:t>
            </w:r>
          </w:p>
        </w:tc>
        <w:tc>
          <w:tcPr>
            <w:tcW w:type="dxa" w:w="4464"/>
            <w:vAlign w:val="center"/>
            <w:shd w:fill="3A3A3A"/>
            <w:tcMar>
              <w:top w:w="90" w:type="dxa"/>
              <w:left w:w="90" w:type="dxa"/>
              <w:bottom w:w="90" w:type="dxa"/>
              <w:right w:w="90" w:type="dxa"/>
            </w:tcMar>
          </w:tcPr>
          <w:p>
            <w:pPr>
              <w:spacing w:after="40" w:line="240" w:lineRule="auto"/>
            </w:pPr>
            <w:r>
              <w:rPr>
                <w:b/>
                <w:color w:val="FFFFFF"/>
                <w:sz w:val="20"/>
              </w:rPr>
              <w:t>Completion evidence</w:t>
            </w:r>
          </w:p>
        </w:tc>
      </w:tr>
      <w:tr>
        <w:trPr>
          <w:cantSplit/>
        </w:trPr>
        <w:tc>
          <w:tcPr>
            <w:tcW w:type="dxa" w:w="864"/>
            <w:vAlign w:val="center"/>
            <w:shd w:fill="FFFFFF"/>
            <w:tcMar>
              <w:top w:w="90" w:type="dxa"/>
              <w:left w:w="90" w:type="dxa"/>
              <w:bottom w:w="90" w:type="dxa"/>
              <w:right w:w="90" w:type="dxa"/>
            </w:tcMar>
          </w:tcPr>
          <w:p>
            <w:pPr>
              <w:spacing w:after="40" w:line="240" w:lineRule="auto"/>
            </w:pPr>
            <w:r>
              <w:rPr>
                <w:sz w:val="20"/>
              </w:rPr>
              <w:t>1</w:t>
            </w:r>
          </w:p>
        </w:tc>
        <w:tc>
          <w:tcPr>
            <w:tcW w:type="dxa" w:w="4752"/>
            <w:vAlign w:val="center"/>
            <w:shd w:fill="FFFFFF"/>
            <w:tcMar>
              <w:top w:w="90" w:type="dxa"/>
              <w:left w:w="90" w:type="dxa"/>
              <w:bottom w:w="90" w:type="dxa"/>
              <w:right w:w="90" w:type="dxa"/>
            </w:tcMar>
          </w:tcPr>
          <w:p>
            <w:pPr>
              <w:spacing w:after="40" w:line="240" w:lineRule="auto"/>
            </w:pPr>
            <w:r>
              <w:rPr>
                <w:sz w:val="20"/>
              </w:rPr>
              <w:t>Read instructions; establish baseline and ledger.</w:t>
            </w:r>
          </w:p>
        </w:tc>
        <w:tc>
          <w:tcPr>
            <w:tcW w:type="dxa" w:w="4464"/>
            <w:vAlign w:val="center"/>
            <w:shd w:fill="FFFFFF"/>
            <w:tcMar>
              <w:top w:w="90" w:type="dxa"/>
              <w:left w:w="90" w:type="dxa"/>
              <w:bottom w:w="90" w:type="dxa"/>
              <w:right w:w="90" w:type="dxa"/>
            </w:tcMar>
          </w:tcPr>
          <w:p>
            <w:pPr>
              <w:spacing w:after="40" w:line="240" w:lineRule="auto"/>
            </w:pPr>
            <w:r>
              <w:rPr>
                <w:sz w:val="20"/>
              </w:rPr>
              <w:t>Current behavior and existing fixes recorded.</w:t>
            </w:r>
          </w:p>
        </w:tc>
      </w:tr>
      <w:tr>
        <w:trPr>
          <w:cantSplit/>
        </w:trPr>
        <w:tc>
          <w:tcPr>
            <w:tcW w:type="dxa" w:w="864"/>
            <w:vAlign w:val="center"/>
            <w:shd w:fill="F4F4F4"/>
            <w:tcMar>
              <w:top w:w="90" w:type="dxa"/>
              <w:left w:w="90" w:type="dxa"/>
              <w:bottom w:w="90" w:type="dxa"/>
              <w:right w:w="90" w:type="dxa"/>
            </w:tcMar>
          </w:tcPr>
          <w:p>
            <w:pPr>
              <w:spacing w:after="40" w:line="240" w:lineRule="auto"/>
            </w:pPr>
            <w:r>
              <w:rPr>
                <w:sz w:val="20"/>
              </w:rPr>
              <w:t>2</w:t>
            </w:r>
          </w:p>
        </w:tc>
        <w:tc>
          <w:tcPr>
            <w:tcW w:type="dxa" w:w="4752"/>
            <w:vAlign w:val="center"/>
            <w:shd w:fill="F4F4F4"/>
            <w:tcMar>
              <w:top w:w="90" w:type="dxa"/>
              <w:left w:w="90" w:type="dxa"/>
              <w:bottom w:w="90" w:type="dxa"/>
              <w:right w:w="90" w:type="dxa"/>
            </w:tcMar>
          </w:tcPr>
          <w:p>
            <w:pPr>
              <w:spacing w:after="40" w:line="240" w:lineRule="auto"/>
            </w:pPr>
            <w:r>
              <w:rPr>
                <w:sz w:val="20"/>
              </w:rPr>
              <w:t>R01 canonical identity and migration contract.</w:t>
            </w:r>
          </w:p>
        </w:tc>
        <w:tc>
          <w:tcPr>
            <w:tcW w:type="dxa" w:w="4464"/>
            <w:vAlign w:val="center"/>
            <w:shd w:fill="F4F4F4"/>
            <w:tcMar>
              <w:top w:w="90" w:type="dxa"/>
              <w:left w:w="90" w:type="dxa"/>
              <w:bottom w:w="90" w:type="dxa"/>
              <w:right w:w="90" w:type="dxa"/>
            </w:tcMar>
          </w:tcPr>
          <w:p>
            <w:pPr>
              <w:spacing w:after="40" w:line="240" w:lineRule="auto"/>
            </w:pPr>
            <w:r>
              <w:rPr>
                <w:sz w:val="20"/>
              </w:rPr>
              <w:t>Clean install, CLI, imports, and legacy-config checks.</w:t>
            </w:r>
          </w:p>
        </w:tc>
      </w:tr>
      <w:tr>
        <w:trPr>
          <w:cantSplit/>
        </w:trPr>
        <w:tc>
          <w:tcPr>
            <w:tcW w:type="dxa" w:w="864"/>
            <w:vAlign w:val="center"/>
            <w:shd w:fill="FFFFFF"/>
            <w:tcMar>
              <w:top w:w="90" w:type="dxa"/>
              <w:left w:w="90" w:type="dxa"/>
              <w:bottom w:w="90" w:type="dxa"/>
              <w:right w:w="90" w:type="dxa"/>
            </w:tcMar>
          </w:tcPr>
          <w:p>
            <w:pPr>
              <w:spacing w:after="40" w:line="240" w:lineRule="auto"/>
            </w:pPr>
            <w:r>
              <w:rPr>
                <w:sz w:val="20"/>
              </w:rPr>
              <w:t>3</w:t>
            </w:r>
          </w:p>
        </w:tc>
        <w:tc>
          <w:tcPr>
            <w:tcW w:type="dxa" w:w="4752"/>
            <w:vAlign w:val="center"/>
            <w:shd w:fill="FFFFFF"/>
            <w:tcMar>
              <w:top w:w="90" w:type="dxa"/>
              <w:left w:w="90" w:type="dxa"/>
              <w:bottom w:w="90" w:type="dxa"/>
              <w:right w:w="90" w:type="dxa"/>
            </w:tcMar>
          </w:tcPr>
          <w:p>
            <w:pPr>
              <w:spacing w:after="40" w:line="240" w:lineRule="auto"/>
            </w:pPr>
            <w:r>
              <w:rPr>
                <w:sz w:val="20"/>
              </w:rPr>
              <w:t>D01–D07 and D09–D10; shared core and policy.</w:t>
            </w:r>
          </w:p>
        </w:tc>
        <w:tc>
          <w:tcPr>
            <w:tcW w:type="dxa" w:w="4464"/>
            <w:vAlign w:val="center"/>
            <w:shd w:fill="FFFFFF"/>
            <w:tcMar>
              <w:top w:w="90" w:type="dxa"/>
              <w:left w:w="90" w:type="dxa"/>
              <w:bottom w:w="90" w:type="dxa"/>
              <w:right w:w="90" w:type="dxa"/>
            </w:tcMar>
          </w:tcPr>
          <w:p>
            <w:pPr>
              <w:spacing w:after="40" w:line="240" w:lineRule="auto"/>
            </w:pPr>
            <w:r>
              <w:rPr>
                <w:sz w:val="20"/>
              </w:rPr>
              <w:t>Independent reproductions pass; deterministic outputs.</w:t>
            </w:r>
          </w:p>
        </w:tc>
      </w:tr>
      <w:tr>
        <w:trPr>
          <w:cantSplit/>
        </w:trPr>
        <w:tc>
          <w:tcPr>
            <w:tcW w:type="dxa" w:w="864"/>
            <w:vAlign w:val="center"/>
            <w:shd w:fill="F4F4F4"/>
            <w:tcMar>
              <w:top w:w="90" w:type="dxa"/>
              <w:left w:w="90" w:type="dxa"/>
              <w:bottom w:w="90" w:type="dxa"/>
              <w:right w:w="90" w:type="dxa"/>
            </w:tcMar>
          </w:tcPr>
          <w:p>
            <w:pPr>
              <w:spacing w:after="40" w:line="240" w:lineRule="auto"/>
            </w:pPr>
            <w:r>
              <w:rPr>
                <w:sz w:val="20"/>
              </w:rPr>
              <w:t>4</w:t>
            </w:r>
          </w:p>
        </w:tc>
        <w:tc>
          <w:tcPr>
            <w:tcW w:type="dxa" w:w="4752"/>
            <w:vAlign w:val="center"/>
            <w:shd w:fill="F4F4F4"/>
            <w:tcMar>
              <w:top w:w="90" w:type="dxa"/>
              <w:left w:w="90" w:type="dxa"/>
              <w:bottom w:w="90" w:type="dxa"/>
              <w:right w:w="90" w:type="dxa"/>
            </w:tcMar>
          </w:tcPr>
          <w:p>
            <w:pPr>
              <w:spacing w:after="40" w:line="240" w:lineRule="auto"/>
            </w:pPr>
            <w:r>
              <w:rPr>
                <w:sz w:val="20"/>
              </w:rPr>
              <w:t>D08 and D11–D14; history, evidence contracts, release gates.</w:t>
            </w:r>
          </w:p>
        </w:tc>
        <w:tc>
          <w:tcPr>
            <w:tcW w:type="dxa" w:w="4464"/>
            <w:vAlign w:val="center"/>
            <w:shd w:fill="F4F4F4"/>
            <w:tcMar>
              <w:top w:w="90" w:type="dxa"/>
              <w:left w:w="90" w:type="dxa"/>
              <w:bottom w:w="90" w:type="dxa"/>
              <w:right w:w="90" w:type="dxa"/>
            </w:tcMar>
          </w:tcPr>
          <w:p>
            <w:pPr>
              <w:spacing w:after="40" w:line="240" w:lineRule="auto"/>
            </w:pPr>
            <w:r>
              <w:rPr>
                <w:sz w:val="20"/>
              </w:rPr>
              <w:t>Malformed evidence refused; exact artifact verified.</w:t>
            </w:r>
          </w:p>
        </w:tc>
      </w:tr>
      <w:tr>
        <w:trPr>
          <w:cantSplit/>
        </w:trPr>
        <w:tc>
          <w:tcPr>
            <w:tcW w:type="dxa" w:w="864"/>
            <w:vAlign w:val="center"/>
            <w:shd w:fill="FFFFFF"/>
            <w:tcMar>
              <w:top w:w="90" w:type="dxa"/>
              <w:left w:w="90" w:type="dxa"/>
              <w:bottom w:w="90" w:type="dxa"/>
              <w:right w:w="90" w:type="dxa"/>
            </w:tcMar>
          </w:tcPr>
          <w:p>
            <w:pPr>
              <w:spacing w:after="40" w:line="240" w:lineRule="auto"/>
            </w:pPr>
            <w:r>
              <w:rPr>
                <w:sz w:val="20"/>
              </w:rPr>
              <w:t>5</w:t>
            </w:r>
          </w:p>
        </w:tc>
        <w:tc>
          <w:tcPr>
            <w:tcW w:type="dxa" w:w="4752"/>
            <w:vAlign w:val="center"/>
            <w:shd w:fill="FFFFFF"/>
            <w:tcMar>
              <w:top w:w="90" w:type="dxa"/>
              <w:left w:w="90" w:type="dxa"/>
              <w:bottom w:w="90" w:type="dxa"/>
              <w:right w:w="90" w:type="dxa"/>
            </w:tcMar>
          </w:tcPr>
          <w:p>
            <w:pPr>
              <w:spacing w:after="40" w:line="240" w:lineRule="auto"/>
            </w:pPr>
            <w:r>
              <w:rPr>
                <w:sz w:val="20"/>
              </w:rPr>
              <w:t>P01–P04; integrate the comparison workflow.</w:t>
            </w:r>
          </w:p>
        </w:tc>
        <w:tc>
          <w:tcPr>
            <w:tcW w:type="dxa" w:w="4464"/>
            <w:vAlign w:val="center"/>
            <w:shd w:fill="FFFFFF"/>
            <w:tcMar>
              <w:top w:w="90" w:type="dxa"/>
              <w:left w:w="90" w:type="dxa"/>
              <w:bottom w:w="90" w:type="dxa"/>
              <w:right w:w="90" w:type="dxa"/>
            </w:tcMar>
          </w:tcPr>
          <w:p>
            <w:pPr>
              <w:spacing w:after="40" w:line="240" w:lineRule="auto"/>
            </w:pPr>
            <w:r>
              <w:rPr>
                <w:sz w:val="20"/>
              </w:rPr>
              <w:t>Real-format import fixture and end-to-end scenarios pass.</w:t>
            </w:r>
          </w:p>
        </w:tc>
      </w:tr>
      <w:tr>
        <w:trPr>
          <w:cantSplit/>
        </w:trPr>
        <w:tc>
          <w:tcPr>
            <w:tcW w:type="dxa" w:w="864"/>
            <w:vAlign w:val="center"/>
            <w:shd w:fill="F4F4F4"/>
            <w:tcMar>
              <w:top w:w="90" w:type="dxa"/>
              <w:left w:w="90" w:type="dxa"/>
              <w:bottom w:w="90" w:type="dxa"/>
              <w:right w:w="90" w:type="dxa"/>
            </w:tcMar>
          </w:tcPr>
          <w:p>
            <w:pPr>
              <w:spacing w:after="40" w:line="240" w:lineRule="auto"/>
            </w:pPr>
            <w:r>
              <w:rPr>
                <w:sz w:val="20"/>
              </w:rPr>
              <w:t>6</w:t>
            </w:r>
          </w:p>
        </w:tc>
        <w:tc>
          <w:tcPr>
            <w:tcW w:type="dxa" w:w="4752"/>
            <w:vAlign w:val="center"/>
            <w:shd w:fill="F4F4F4"/>
            <w:tcMar>
              <w:top w:w="90" w:type="dxa"/>
              <w:left w:w="90" w:type="dxa"/>
              <w:bottom w:w="90" w:type="dxa"/>
              <w:right w:w="90" w:type="dxa"/>
            </w:tcMar>
          </w:tcPr>
          <w:p>
            <w:pPr>
              <w:spacing w:after="40" w:line="240" w:lineRule="auto"/>
            </w:pPr>
            <w:r>
              <w:rPr>
                <w:sz w:val="20"/>
              </w:rPr>
              <w:t>Full regression and performance checks; documentation and handoff.</w:t>
            </w:r>
          </w:p>
        </w:tc>
        <w:tc>
          <w:tcPr>
            <w:tcW w:type="dxa" w:w="4464"/>
            <w:vAlign w:val="center"/>
            <w:shd w:fill="F4F4F4"/>
            <w:tcMar>
              <w:top w:w="90" w:type="dxa"/>
              <w:left w:w="90" w:type="dxa"/>
              <w:bottom w:w="90" w:type="dxa"/>
              <w:right w:w="90" w:type="dxa"/>
            </w:tcMar>
          </w:tcPr>
          <w:p>
            <w:pPr>
              <w:spacing w:after="40" w:line="240" w:lineRule="auto"/>
            </w:pPr>
            <w:r>
              <w:rPr>
                <w:sz w:val="20"/>
              </w:rPr>
              <w:t>Every requirement mapped to executed evidence or a precise blocker.</w:t>
            </w:r>
          </w:p>
        </w:tc>
      </w:tr>
    </w:tbl>
    <w:p>
      <w:pPr>
        <w:spacing w:after="20"/>
      </w:pPr>
    </w:p>
    <w:p>
      <w:pPr>
        <w:pStyle w:val="Heading2"/>
      </w:pPr>
      <w:r>
        <w:t>Required completion checks</w:t>
      </w:r>
    </w:p>
    <w:p>
      <w:r>
        <w:t>Run applicable tests, lint, strict typing, clean packaging, and installed-artifact acceptance checks. Exercise the supported rename migration, both tokenizer modes, config precedence, bounded malformed inputs, batch output, trusted-policy boundaries, dependency-only changes, and deterministic comparison. Do not lower existing thresholds or hide failures with blanket skips.</w:t>
      </w:r>
    </w:p>
    <w:p>
      <w:r>
        <w:t>Review the requirement ledger: every R01, D01–D14, and P01–P04 item must be implemented and verified, already satisfied with evidence, or explicitly blocked with its impact. Required stubs and unresolved release-blocking defects prevent an engineering-complete claim. Local verification does not establish that remote CI or live agent evaluation passed.</w:t>
      </w:r>
    </w:p>
    <w:p>
      <w:r>
        <w:t>Verify all remaining old-name references are intentional, migration instructions work in a clean environment, repository links work before the manual rename, and release configuration cannot upload the wrong distribution. Check that docs/rename-checklist.md identifies the exact owner actions required after implementation.</w:t>
      </w:r>
    </w:p>
    <w:p>
      <w:pPr>
        <w:pStyle w:val="Heading2"/>
      </w:pPr>
      <w:r>
        <w:t>Agent handoff</w:t>
      </w:r>
    </w:p>
    <w:p>
      <w:r>
        <w:t>Provide a concise summary mapped to requirement IDs, the commands and outcomes actually verified, before-and-after performance with limits, migration instructions, the ledger path, and remaining external prerequisites. Distinguish completed code, configured CI, unexecuted empirical checks, and owner-managed publishing or repository settings. Do not claim a public release or remote rename occurred.</w:t>
      </w:r>
    </w:p>
    <w:p>
      <w:pPr>
        <w:pStyle w:val="Heading2"/>
      </w:pPr>
      <w:r>
        <w:t>Implementation references</w:t>
      </w:r>
    </w:p>
    <w:p>
      <w:r>
        <w:t>Consult authoritative documentation when an external contract is uncertain. Pin tested reference versions and preserve their provenance in fixtures or profiles. These references support implementation; no competitor survey or adoption research is required.</w:t>
      </w:r>
    </w:p>
    <w:p>
      <w:hyperlink r:id="rId9">
        <w:r>
          <w:rPr>
            <w:u w:val="single"/>
          </w:rPr>
          <w:t>Agent Skills specification</w:t>
        </w:r>
      </w:hyperlink>
    </w:p>
    <w:p>
      <w:hyperlink r:id="rId10">
        <w:r>
          <w:rPr>
            <w:u w:val="single"/>
          </w:rPr>
          <w:t>Agent Skills reference implementation</w:t>
        </w:r>
      </w:hyperlink>
    </w:p>
    <w:p>
      <w:hyperlink r:id="rId11">
        <w:r>
          <w:rPr>
            <w:u w:val="single"/>
          </w:rPr>
          <w:t>Promptfoo agent skill evaluations</w:t>
        </w:r>
      </w:hyperlink>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2"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2" w:lineRule="auto" w:before="20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gentskills.io/specification" TargetMode="External"/><Relationship Id="rId10" Type="http://schemas.openxmlformats.org/officeDocument/2006/relationships/hyperlink" Target="https://github.com/agentskills/agentskills/tree/main/skills-ref" TargetMode="External"/><Relationship Id="rId11" Type="http://schemas.openxmlformats.org/officeDocument/2006/relationships/hyperlink" Target="https://www.promptfoo.dev/docs/guides/test-agent-sk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TraceMantle Agent Implementation Plan</dc:title>
  <dc:subject>Engineering requirements and internal rename with manual GitHub handoff</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