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AI产业链投资框架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主干栈 + 应用分叉 结构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V3.0</w:t>
      </w:r>
    </w:p>
    <w:p>
      <w:pPr>
        <w:pBdr>
          <w:top w:val="single" w:color="2E5090" w:sz="2" w:space="10"/>
        </w:pBdr>
        <w:spacing w:after="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《个人投资宪章》执行层附件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2026年4月 | 基于V2.0重构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参考框架：黄仁勋“AI五层蛋糕”模型（主干栈部分）+ 自建应用分叉分类法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本文档不构成投资建议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第零部分：为什么重构——从 V2.0 到 V3.0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一、V2.0的结构性问题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V2.0将AI产业链划分为L0-L8九个层级，并以线性编号链的形式排列。经过两轮独立审计（Claude + Codex），确认了以下结构性问题：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分类轴中途切换。</w:t>
      </w:r>
      <w:r>
        <w:rPr>
          <w:rFonts w:ascii="Arial" w:cs="Arial" w:eastAsia="Arial" w:hAnsi="Arial"/>
          <w:sz w:val="22"/>
          <w:szCs w:val="22"/>
        </w:rPr>
        <w:t xml:space="preserve"> L0-L4描述的是技术依赖关系和供给瓶颈，是真正的上下游使能栈。L5-L8则混合了内容供给、广告技术变现、具身智能和终端应用——这些是不同维度的东西，却被强制压入同一条编号链。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L6不是通用控制点。</w:t>
      </w:r>
      <w:r>
        <w:rPr>
          <w:rFonts w:ascii="Arial" w:cs="Arial" w:eastAsia="Arial" w:hAnsi="Arial"/>
          <w:sz w:val="22"/>
          <w:szCs w:val="22"/>
        </w:rPr>
        <w:t xml:space="preserve"> 程序化广告/流量分发并非跨多个AI分支反复出现的通用环节。L7具身智能、L8 AI安全、L3模型服务等多数AI价值捕获路径不经过L6。它只对“通过广告变现的消费者注意力生意”这一个下游分支是结构性必需的。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Tier含义跨层不一致。</w:t>
      </w:r>
      <w:r>
        <w:rPr>
          <w:rFonts w:ascii="Arial" w:cs="Arial" w:eastAsia="Arial" w:hAnsi="Arial"/>
          <w:sz w:val="22"/>
          <w:szCs w:val="22"/>
        </w:rPr>
        <w:t xml:space="preserve"> L0-L2的Tier衡量瓶颈严重度（产能利用率、交期），L7衡量商业化成熟度，L8衡量可投资性。评分含义变了，编号链就失去了可比性。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下游结构受组合形状影响。</w:t>
      </w:r>
      <w:r>
        <w:rPr>
          <w:rFonts w:ascii="Arial" w:cs="Arial" w:eastAsia="Arial" w:hAnsi="Arial"/>
          <w:sz w:val="22"/>
          <w:szCs w:val="22"/>
        </w:rPr>
        <w:t xml:space="preserve"> L5、L6和L8的一部分更多是通过L6风险/机会的镜头来分析的，而不是通过独立的产业本体镜头。广告技术拥有独立的通用层，但其他变现路径（订阅、按量付费、交易抽成）没有——这种不对称从第一性原理上难以自圆其说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二、重构原则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主干与分叉分离。</w:t>
      </w:r>
      <w:r>
        <w:rPr>
          <w:rFonts w:ascii="Arial" w:cs="Arial" w:eastAsia="Arial" w:hAnsi="Arial"/>
          <w:sz w:val="22"/>
          <w:szCs w:val="22"/>
        </w:rPr>
        <w:t xml:space="preserve"> 真正具有线性依赖关系的上游使能栈（L0-L3）保持线性编号；L3之上的应用方向承认其平行分叉性质，不再假装是一条链。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每个分叉内部自含变现模式标注。</w:t>
      </w:r>
      <w:r>
        <w:rPr>
          <w:rFonts w:ascii="Arial" w:cs="Arial" w:eastAsia="Arial" w:hAnsi="Arial"/>
          <w:sz w:val="22"/>
          <w:szCs w:val="22"/>
        </w:rPr>
        <w:t xml:space="preserve"> 不设独立的“变现覆盖层”（操作性不可行），而是在每个分叉内标注主要变现路径作为属性。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Tier定义按栈/分叉类型统一。</w:t>
      </w:r>
      <w:r>
        <w:rPr>
          <w:rFonts w:ascii="Arial" w:cs="Arial" w:eastAsia="Arial" w:hAnsi="Arial"/>
          <w:sz w:val="22"/>
          <w:szCs w:val="22"/>
        </w:rPr>
        <w:t xml:space="preserve"> 主干栈用“供给瓶颈”Tier；数字应用分叉用“产业成熟度”Tier；物理应用分叉用“商业化验证”Tier。明确标注，不混用。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承认框架的组合导向性。</w:t>
      </w:r>
      <w:r>
        <w:rPr>
          <w:rFonts w:ascii="Arial" w:cs="Arial" w:eastAsia="Arial" w:hAnsi="Arial"/>
          <w:sz w:val="22"/>
          <w:szCs w:val="22"/>
        </w:rPr>
        <w:t xml:space="preserve"> 本框架的设计目标是“可投资的研究系统”，不是“行业中立的产业本体”。数字内容分叉的分析深度会高于其他分支，因为这是当前核心能力圈。这是设计选择，不是疲漏。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三、黄仁勋框架的边界声明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黄仁勋的“AI五层蛋糕”模型覆盖“能源→芯片→基础设施→模型→应用”。本框架的主干栈（L0-L3）参考了这一分层逻辑。但L3之上的应用分叉结构是自建的投资分类法，不是黄仁勋框架的延伸。其质量应用内部自洽性检验，不借权威背书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第一部分：框架总览——主干栈 + 应用分叉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四、整体结构图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传导关系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━━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主干栈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线性依赖，每层是下一层的物理前提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L0→L1→L2→L3 线性传导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能源层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发电、输配电、储能、电源架构、电能质量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L0供电→L1芯片制造+L2数据中心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芯片层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GPU/ASIC、封装、存储、光模块、晚圆代工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L1芯片→L2服务器组装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服务器、网络、散热液冷、IDC、云平台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L2算力→L3模型训练/推理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模型与平台层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前沿模型、云AI平台、Agent编排、开源生态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L3能力→所有应用分叉（分叉点）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━━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应用分叉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L3之上分叉，平行方向，非上下游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各分叉从 L3 独立获取能力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数字内容与分发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开发工具、内容供给、程序化广告、消费AI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工具→内容供给→分发变现（分支内传导）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物理世界 AI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机器人零部件、人形机器人、自动驾驶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L1芯片+L3模型→D2（独立硬件供应链）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企业与垂直AI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企业AI SaaS、AI安全、医疗/金融/法律AI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L3模型+L2云→D3（企业IT采购周期）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1"/>
              <w:left w:val="single" w:color="CC8800" w:sz="6"/>
              <w:bottom w:val="single" w:color="CC8800" w:sz="1"/>
              <w:right w:val="single" w:color="CC8800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4400"/>
                <w:sz w:val="20"/>
                <w:szCs w:val="20"/>
              </w:rPr>
              <w:t xml:space="preserve">核心设计决策：D2“物理世畏AI”为什么是独立分叉而不是应用子类？因为D2有独立的硬件供应链（减速器/伺服电机/传感器），这条供应链不经过L2数据中心，直接介L1芯片层分叉。其投资逻辑有一半是“卖铲子”（零部件），更接近L1/L2的供给瓶颈逻辑，而不是纯应用逻辑。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五、V2.0 → V3.0 映射表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V2.0层级</w:t>
            </w:r>
          </w:p>
        </w:tc>
        <w:tc>
          <w:tcPr>
            <w:tcW w:type="dxa" w:w="2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V2.0名称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V3.0位置</w:t>
            </w:r>
          </w:p>
        </w:tc>
        <w:tc>
          <w:tcPr>
            <w:tcW w:type="dxa" w:w="3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能源层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芯片层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模型与平台层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不变（含原细分一~四）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工具与中间件层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D1-①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AI开发工具、游戏开发工具→D1内子板块；企业AI SaaS→D3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内容供给层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D1-②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游戏平台、AI短剧、网文IP→D1内子板块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分发与变现层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D1-③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程序化广告、CTV广告→D1内子板块（从通用层降级为分支内环节）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具身智能层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从编号链抽出，成为独立分叉（有独立硬件供应链）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终端应用层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拆分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AI搜索/消费Agent→D1；AI安全/垂直应用→D3；AI硬件→D2观察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第二部分：主干栈详解（L0-L3）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主干栈各层的细分板块、跟踪信号、代表标的保持V2.0各层文档不变（L0 V5、L1 V2、L2 V1.1、L3 V1.1）。本节仅概述各层在新框架中的角色。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L0 能源层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6个细分板块：燃气轮机、数据中心专用光伏、输配电、储能、电源架构、电能质量治理。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Tier含义：供给瓶颈严重度。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产能利用率、交期、供给集中度、替代方案可得性、ASP趋势。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与分叉的关系：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L0同时供电给L1芯片制造和L2数据中心，是所有AI分支的最底层硬约束。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L1 芯片层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6个主力细分 + 1个观察维度：GPU、ASIC、先进封装、存储芯片、光模块、晚圆代工。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Tier含义：供给瓶颈严重度。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同L0框架。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分叉点：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L1同时供应给L2（数据中心服务器）和D2（机器人芯片/传感器）。这是主干与分叉的第一个分叉点。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L2 基础设施层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5个主力细分 + 1个观察维度：第三方IDC托管、Neocloud/GPU算力云、高速网络与互联、散热/液冷、数据中心工程建设。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Tier含义：供给瓶颈严重度。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同L0框架。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L3 模型与平台层（分叉点）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3个主力细分 + 1个观察维度：前沿模型/基础大模型、AI平台与企业SaaS（Agent化）、开源模型生态。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L3是主干栈的终点，也是所有应用分叉的起点。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L3的模型能力同时流向D1（数字内容）、D2（物理AI）、D3（企业垂直）三个方向。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Tier含义：特殊。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L3不存在L0-L2意义上的供给瓶颈，其Tier衡量的是“模型层的可投资性和估值风险”——头部标的几乎全部未上市，估值风险极端。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第三部分：应用分叉详解（D1-D3）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D1 数字内容与分发分支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AI能力通过数字内容的创建、分发和变现产生价值的全链条。这是当前核心能力圈所在的分支，分析深度最高。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分支内传导链条（候选假设，非已证明的因果关系）：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AI开发工具降低门槛 → 内容供给爆发 → 分发变现环节稀缺性增强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1"/>
              <w:left w:val="single" w:color="CC8800" w:sz="6"/>
              <w:bottom w:val="single" w:color="CC8800" w:sz="1"/>
              <w:right w:val="single" w:color="CC8800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4400"/>
                <w:sz w:val="20"/>
                <w:szCs w:val="20"/>
              </w:rPr>
              <w:t xml:space="preserve">传导链条证据状态：三个桥梁变量（第三方程序化买量占比、CPI/ROI趋势、AppLovin/汇量短剧/小游戏品类贡献）均未被充分验证。本传导链条是候选领先指标，不是已确认的因果前因。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1500"/>
        <w:gridCol w:w="15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子板块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代表标的/方向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主要变现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V2.0来源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AI开发工具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Cursor、GitHub Copilot、Lovable、Replit、TapTap Maker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订阅/消耗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内容供给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Roblox、微信小游戏、红果短剧、中文在线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广告/IAP/订阅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程序化广告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AppLovin、汇量科技、The Trade Desk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广告技术费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原L6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D1-④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消费AI入口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Perplexity、ChatGPT搜索、AI Overview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订阅/广告/代理交易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原L8部分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D1的Tier含义：产业成熟度。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衡量维度：收入增速、商业模式稳定性、上市标的可得性、数据可跟踪性。不与L0-L2的供给瓶颈Tier混用。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D1-③的新位置说明：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原来的L6现在是D1分支内的一个子板块。这意味着：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你仍然重点跟踪它，但不再声称它是整个AI产业链的必经之路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它的分析仅对D1分支内的投资逻辑有传导意义，不影响L0-L3主干栈或D2/D3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D1-④（消费AI入口）对D1-③的结构性风险（Agent绕过广告）在D1分支内部跟踪，不再跨层级分析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D2 物理世畏 AI 分叉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AI能力进入物理世界的全部路径，包含独立的硬件供应链和应用端。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1500"/>
        <w:gridCol w:w="15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子板块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代表标的/方向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主要变现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V2.0来源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D2-①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机器人零部件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三花智控、绿的谐波、汇川技术、埃斯顿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硬件销售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原L7细分三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D2-②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人形机器人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Tesla Optimus、Figure、AgiBot、宇树科技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硬件+服务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原L7细分一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D2-③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自动驾驶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Waymo、Tesla FSD、小马智行、地平线机器人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MaaS/软件订阅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原L7细分二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D2的Tier含义：商业化验证度。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衡量维度：累计商业部署量、单位经济模型验证、上市可投资标的数量、监管成熟度。不与L0-L2的供给瓶颈Tier混用。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D2的独立供应链维度：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2-①（零部件）的投资逻辑更接近L1/L2的“卖铲子”逻辑——无论哪家机器人公司胜出，都需要谐波减速器和伺服电机。这条供应链不经过L2数据中心，直接介L1芯片层分叉出来。这是D2必须作为独立分叉而不是简单归入“应用子类”的根本原因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D3 企业与垂直 AI 分叉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AI能力嵌入企业工作流和强监管垂直行业的全部路径。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1500"/>
        <w:gridCol w:w="15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子板块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代表标的/方向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主要变现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V2.0来源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D3-①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企业AI SaaS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Salesforce、ServiceNow、Palantir、HubSpot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订阅/消耗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原L4部分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D3-②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AI安全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CrowdStrike、Palo Alto Networks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平台订阅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原L8部分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D3-③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垂直行业AI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Veeva、Doximity、Abridge、Harvey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订阅/按量/监管审批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原L8部分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D3的Tier含义：产业成熟度 + 可投资性。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D3的特殊性在于它同时受商业化进度和监管审批双重约束（如FDA对医疗AI的审批）。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第四部分：周度扫描模板（V3.0修订版）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六、扫描节奏差异化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V2.0对九个层级平均分配扫描时间。V3.0根据能力圈和产业节奏差异化：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360"/>
      </w:tblGrid>
      <w:tr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板块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扫描频率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每次时间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异动触发条件</w:t>
            </w:r>
          </w:p>
        </w:tc>
        <w:tc>
          <w:tcPr>
            <w:tcW w:type="dxa" w:w="2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L0-L2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10分钟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单月≥15% +
三月≥30%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硬瓶颈信号变化慢，但重要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模型发布、IPO进展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15分钟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核心能力圈，时间分配最多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15分钟/月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重大部署、供应链订单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产业节奏较慢，降频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20分钟/季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earnings/监管重大变化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企业采购周期长，降频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周度扫描总时间：约30分钟。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L0-L2（10分钟）+ L3（5分钟）+ D1（15分钟）。D2/D3不占用周度时间。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七、扫描记录模板（V3.0）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异动板块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所属位置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主干 L__ / 分叉 D__-①②③④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异动数据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单月涨幅___% | 三月累计___%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驱动因素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政策 / 技术 / 供需拐点 / 资金炒作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持续性判断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持续 / 一次性 / 不确定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与核心持仓关系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直接传导 / 间接信号 / 无关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决策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进入研判 / 记录观察 / 放弃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理由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与V2.0的差异：新增“所属位置”字段（主干L vs 分叉D）和“与核心持仓关系”字段。后者用于显性记录异动是否与你的L6持仓有传导关系——如果每次都填“直接传导”，说明你的扫描雷达被持仓锚定了，需要主动扩展视野。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第五部分：框架自检与偏差控制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八、组合导向性声明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本框架的设计目标是“可投资的研究系统”，不是“行业中立的产业本体”。以下偏差是已知的设计选择，不是疲漏：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D1分支的分析深度和细分板块数量高于D2/D3，因为D1是当前核心能力圈。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D1内部的传导链条分析（工具→内容→分发）有一部分是通过核心持仓（D1-③程序化广告）的风险/机会镜头分析的。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D2和D3的扫描频率较低，可能导致错过这些方向的早期信号。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九、季度自检问题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每季度复盘时，在《投资宪章》季度检查基础上新增以下问题：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扫描雷达偏差检查：</w:t>
      </w:r>
      <w:r>
        <w:rPr>
          <w:rFonts w:ascii="Arial" w:cs="Arial" w:eastAsia="Arial" w:hAnsi="Arial"/>
          <w:sz w:val="22"/>
          <w:szCs w:val="22"/>
        </w:rPr>
        <w:t xml:space="preserve"> 过去一季度扫描到的异动中，有多少比例来自D1（核心能力圈）vs D2/D3（能力圈外）？如果&gt;80%来自D1，说明雷达视野太窄。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持仓锚定检查：</w:t>
      </w:r>
      <w:r>
        <w:rPr>
          <w:rFonts w:ascii="Arial" w:cs="Arial" w:eastAsia="Arial" w:hAnsi="Arial"/>
          <w:sz w:val="22"/>
          <w:szCs w:val="22"/>
        </w:rPr>
        <w:t xml:space="preserve"> 如果我没有D1-③的持仓，我还会花同样的精力追踪D1-②内容供给数据吗？如果答案是“不会”，说明D1-②在框架中的权重被持仓扭曲了。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Tier一致性检查：</w:t>
      </w:r>
      <w:r>
        <w:rPr>
          <w:rFonts w:ascii="Arial" w:cs="Arial" w:eastAsia="Arial" w:hAnsi="Arial"/>
          <w:sz w:val="22"/>
          <w:szCs w:val="22"/>
        </w:rPr>
        <w:t xml:space="preserve"> 本季度使用Tier评级时，是否始终按对应区域的定义使用（主干栈=瓶颈严重度，D1=产业成熟度，D2=商业化验证度，D3=成熟度+可投资性）？是否有跨区域混用？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框架有效性检查：</w:t>
      </w:r>
      <w:r>
        <w:rPr>
          <w:rFonts w:ascii="Arial" w:cs="Arial" w:eastAsia="Arial" w:hAnsi="Arial"/>
          <w:sz w:val="22"/>
          <w:szCs w:val="22"/>
        </w:rPr>
        <w:t xml:space="preserve"> 是否有在D2/D3中发现了本应用“7天快速研究”流程但因为扫描频率低而错过的机会？如果是，考虑将该分支升频为周度。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十、框架修订触发条件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以下任一条件触发时，应重新审视分叉结构：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D1-④（消费AI入口）出现高纯度上市标的（如Perplexity IPO）→ 可能需要将D1-④升级为独立分叉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D2零部件公司开始单独披露机器人分部收入（&gt;10%收入占比）→ D2的数据环境根本性改善，可考虑升频扫描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某个D3子板块出现单月≥15%异动→ 临时升频为周度扫描，进入“7天快速研究”流程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核心持仓从“程序化广告”变更为其他方向→ 整个D1分支的分析深度和扫描时间分配需要重新平衡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附录：审计记录与致谢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审计输入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本V3.0框架基于以下审计输入重构：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Claude第一轮审计：</w:t>
      </w:r>
      <w:r>
        <w:rPr>
          <w:rFonts w:ascii="Arial" w:cs="Arial" w:eastAsia="Arial" w:hAnsi="Arial"/>
          <w:sz w:val="22"/>
          <w:szCs w:val="22"/>
        </w:rPr>
        <w:t xml:space="preserve"> 识别了分类轴切换、L6非通用层、框架组合导向性三个核心问题。提出Y型“主干+分叉”结构。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Codex第一轮审计：</w:t>
      </w:r>
      <w:r>
        <w:rPr>
          <w:rFonts w:ascii="Arial" w:cs="Arial" w:eastAsia="Arial" w:hAnsi="Arial"/>
          <w:sz w:val="22"/>
          <w:szCs w:val="22"/>
        </w:rPr>
        <w:t xml:space="preserve"> 确认了L5-L8的分类轴问题。提出“核心栈+分支+覆盖层”方案。明确指出“如果目标是通用产业本体，L6不应保留为顶层层级”。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Codex第二轮审计：</w:t>
      </w:r>
      <w:r>
        <w:rPr>
          <w:rFonts w:ascii="Arial" w:cs="Arial" w:eastAsia="Arial" w:hAnsi="Arial"/>
          <w:sz w:val="22"/>
          <w:szCs w:val="22"/>
        </w:rPr>
        <w:t xml:space="preserve"> 纠正了“AI原生”作为排除标准的草率性（电力和云也先于AI存在），提出更严格的测试标准：“是否是跨分支的通用控制点”。识别了Tier含义跨层不一致的深层问题。建议“不要删除L6，但停止把它当成和L0-L4同一条阶梯上的通用层级”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本V3.0采纳与未采纳的审计建议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建议内容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采纳状态</w:t>
            </w:r>
          </w:p>
        </w:tc>
        <w:tc>
          <w:tcPr>
            <w:tcW w:type="dxa" w:w="42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分类轴切换问题（L5-L8混合不同维度）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改为主干栈+应用分叉结构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L6降级为分支内环节，不删除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L6→D1-③，保留跟踪但不再是通用层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Tier含义按区域统一定义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主干栈=瓶颈，D1=成熟度，D2=商业化验证，D3=成熟度+可投资性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承认框架组合导向性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第五部分显性声明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“AI原生”不是有效排除标准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改用“是否跨分支通用控制点”作为测试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“围绕持仓倒推”表述降级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改为“L5/L6/L8通过L6镜头分析”，更稳妥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“覆盖层”（overlay）方案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未采纳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操作性不可行，改为分支内标注变现模式属性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L7归为“应用子类”而非独立分支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未采纳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D2有独立硬件供应链，不经过L2数据中心，必须独立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文档版本 V3.0 | 2026年4月12日 | 基于V2.0重构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本文档不构成投资建议。各层/分支的细分板块文档（L0 V5、L1 V2、L2 V1.1、L3 V1.1等）继续有效，仅编号映射变更。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66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2026-04-12T15:48:53.517Z</dcterms:created>
  <dcterms:modified xsi:type="dcterms:W3CDTF">2026-04-12T15:48:53.518Z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