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80"/>
        <w:jc w:val="center"/>
      </w:pPr>
      <w:r>
        <w:rPr>
          <w:rFonts w:ascii="Calibri" w:hAnsi="Calibri"/>
          <w:b/>
          <w:color w:val="172B4D"/>
          <w:sz w:val="72"/>
        </w:rPr>
        <w:t>Grindset</w:t>
        <w:br/>
      </w:r>
      <w:r>
        <w:rPr>
          <w:rFonts w:ascii="Calibri" w:hAnsi="Calibri"/>
          <w:color w:val="42526E"/>
          <w:sz w:val="34"/>
        </w:rPr>
        <w:t>Enterprise Project Management System</w:t>
      </w:r>
    </w:p>
    <w:p>
      <w:pPr>
        <w:spacing w:before="1400"/>
      </w:pPr>
    </w:p>
    <w:p>
      <w:pPr>
        <w:spacing w:after="40"/>
        <w:jc w:val="center"/>
      </w:pPr>
      <w:r>
        <w:rPr>
          <w:rFonts w:ascii="Calibri" w:hAnsi="Calibri"/>
          <w:b/>
          <w:color w:val="172B4D"/>
          <w:sz w:val="26"/>
        </w:rPr>
        <w:t>CSE 3224 · Information System Design</w:t>
        <w:br/>
      </w:r>
      <w:r>
        <w:rPr>
          <w:rFonts w:ascii="Calibri" w:hAnsi="Calibri"/>
          <w:color w:val="5E6C84"/>
          <w:sz w:val="22"/>
        </w:rPr>
        <w:t>Software Testing in SDLC · Verification &amp; Validation · Quality Assurance</w:t>
      </w:r>
    </w:p>
    <w:p>
      <w:pPr>
        <w:spacing w:before="1400"/>
      </w:pPr>
    </w:p>
    <w:p>
      <w:pPr>
        <w:spacing w:line="300" w:lineRule="auto"/>
        <w:jc w:val="center"/>
      </w:pPr>
      <w:r>
        <w:rPr>
          <w:rFonts w:ascii="Calibri" w:hAnsi="Calibri"/>
          <w:b/>
          <w:color w:val="172B4D"/>
          <w:sz w:val="26"/>
        </w:rPr>
        <w:t>Group 3</w:t>
        <w:br/>
      </w:r>
      <w:r>
        <w:rPr>
          <w:rFonts w:ascii="Calibri" w:hAnsi="Calibri"/>
          <w:color w:val="172B4D"/>
          <w:sz w:val="22"/>
        </w:rPr>
        <w:t>MD Jaliz Mahamud Mridul — ID 20230104112</w:t>
        <w:br/>
      </w:r>
      <w:r>
        <w:rPr>
          <w:rFonts w:ascii="Calibri" w:hAnsi="Calibri"/>
          <w:color w:val="172B4D"/>
          <w:sz w:val="22"/>
        </w:rPr>
        <w:t>Shahriar Mahir — ID 20230104114</w:t>
        <w:br/>
      </w:r>
      <w:r>
        <w:rPr>
          <w:rFonts w:ascii="Calibri" w:hAnsi="Calibri"/>
          <w:color w:val="172B4D"/>
          <w:sz w:val="22"/>
        </w:rPr>
        <w:t>Md. Fahim Imam — ID 20230104107</w:t>
      </w:r>
    </w:p>
    <w:p>
      <w:pPr>
        <w:spacing w:before="1200"/>
      </w:pPr>
    </w:p>
    <w:p>
      <w:pPr>
        <w:jc w:val="center"/>
      </w:pPr>
      <w:r>
        <w:rPr>
          <w:rFonts w:ascii="Calibri" w:hAnsi="Calibri"/>
          <w:color w:val="5E6C84"/>
          <w:sz w:val="22"/>
        </w:rPr>
        <w:t>12 September 2026</w:t>
      </w:r>
    </w:p>
    <w:p>
      <w:r>
        <w:br w:type="page"/>
      </w:r>
    </w:p>
    <w:p>
      <w:pPr>
        <w:pStyle w:val="Heading1"/>
        <w:keepNext/>
        <w:spacing w:before="280" w:after="100"/>
      </w:pPr>
      <w:r>
        <w:rPr>
          <w:rFonts w:ascii="Calibri" w:hAnsi="Calibri"/>
          <w:b/>
          <w:color w:val="0F294A"/>
          <w:sz w:val="29"/>
        </w:rPr>
        <w:t>LABORATORY 6: COMPREHENSIVE SYSTEM TESTING REPORT</w:t>
      </w:r>
    </w:p>
    <w:p>
      <w:pPr>
        <w:spacing w:line="276" w:lineRule="auto" w:after="80"/>
      </w:pPr>
      <w:r>
        <w:rPr>
          <w:rFonts w:ascii="Calibri" w:hAnsi="Calibri"/>
          <w:i/>
          <w:color w:val="172B4D"/>
          <w:sz w:val="20"/>
        </w:rPr>
        <w:t>Verification and Validation of GrindSet 3-Tier RBC Enterprise Resource Planning (ERP) System across SDLC Testing Levels</w:t>
        <w:br/>
        <w:t>Course: CSE 3224 Software Development Life Cycle Lab | Group 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rPr>
          <w:tblHeader/>
          <w:cantSplit/>
        </w:trPr>
        <w:tc>
          <w:tcPr>
            <w:tcW w:type="dxa" w:w="3168"/>
            <w:shd w:fill="0F294A"/>
            <w:tcMar>
              <w:top w:w="120" w:type="dxa"/>
              <w:bottom w:w="120" w:type="dxa"/>
              <w:left w:w="140" w:type="dxa"/>
              <w:right w:w="140" w:type="dxa"/>
            </w:tcMar>
          </w:tcPr>
          <w:p>
            <w:pPr>
              <w:jc w:val="left"/>
            </w:pPr>
            <w:r>
              <w:rPr>
                <w:rFonts w:ascii="Calibri" w:hAnsi="Calibri"/>
                <w:b/>
                <w:color w:val="FFFFFF"/>
                <w:sz w:val="19"/>
              </w:rPr>
              <w:t>Project Specification</w:t>
            </w:r>
          </w:p>
        </w:tc>
        <w:tc>
          <w:tcPr>
            <w:tcW w:type="dxa" w:w="6912"/>
            <w:shd w:fill="0F294A"/>
            <w:tcMar>
              <w:top w:w="120" w:type="dxa"/>
              <w:bottom w:w="120" w:type="dxa"/>
              <w:left w:w="140" w:type="dxa"/>
              <w:right w:w="140" w:type="dxa"/>
            </w:tcMar>
          </w:tcPr>
          <w:p>
            <w:pPr>
              <w:jc w:val="left"/>
            </w:pPr>
            <w:r>
              <w:rPr>
                <w:rFonts w:ascii="Calibri" w:hAnsi="Calibri"/>
                <w:b/>
                <w:color w:val="FFFFFF"/>
                <w:sz w:val="19"/>
              </w:rPr>
              <w:t>Metadata Attribute &amp; System Details</w:t>
            </w:r>
          </w:p>
        </w:tc>
      </w:tr>
      <w:tr>
        <w:trPr>
          <w:cantSplit/>
        </w:trPr>
        <w:tc>
          <w:tcPr>
            <w:tcW w:type="dxa" w:w="3168"/>
            <w:shd w:fill="FFFFFF"/>
            <w:tcMar>
              <w:top w:w="80" w:type="dxa"/>
              <w:bottom w:w="80" w:type="dxa"/>
              <w:left w:w="120" w:type="dxa"/>
              <w:right w:w="120" w:type="dxa"/>
            </w:tcMar>
          </w:tcPr>
          <w:p>
            <w:pPr>
              <w:spacing w:line="252" w:lineRule="auto"/>
            </w:pPr>
            <w:r>
              <w:rPr>
                <w:rFonts w:ascii="Calibri" w:hAnsi="Calibri"/>
                <w:b/>
                <w:color w:val="172B4D"/>
                <w:sz w:val="17"/>
              </w:rPr>
              <w:t>System Name</w:t>
            </w:r>
          </w:p>
        </w:tc>
        <w:tc>
          <w:tcPr>
            <w:tcW w:type="dxa" w:w="6912"/>
            <w:shd w:fill="FFFFFF"/>
            <w:tcMar>
              <w:top w:w="80" w:type="dxa"/>
              <w:bottom w:w="80" w:type="dxa"/>
              <w:left w:w="120" w:type="dxa"/>
              <w:right w:w="120" w:type="dxa"/>
            </w:tcMar>
          </w:tcPr>
          <w:p>
            <w:pPr>
              <w:spacing w:line="252" w:lineRule="auto"/>
            </w:pPr>
            <w:r>
              <w:rPr>
                <w:rFonts w:ascii="Calibri" w:hAnsi="Calibri"/>
                <w:color w:val="172B4D"/>
                <w:sz w:val="17"/>
              </w:rPr>
              <w:t>GrindSet: 3-Tier Role-Based Control (RBC) Enterprise Resource Planning System</w:t>
            </w:r>
          </w:p>
        </w:tc>
      </w:tr>
      <w:tr>
        <w:trPr>
          <w:cantSplit/>
        </w:trPr>
        <w:tc>
          <w:tcPr>
            <w:tcW w:type="dxa" w:w="3168"/>
            <w:shd w:fill="F8FAFC"/>
            <w:tcMar>
              <w:top w:w="80" w:type="dxa"/>
              <w:bottom w:w="80" w:type="dxa"/>
              <w:left w:w="120" w:type="dxa"/>
              <w:right w:w="120" w:type="dxa"/>
            </w:tcMar>
          </w:tcPr>
          <w:p>
            <w:pPr>
              <w:spacing w:line="252" w:lineRule="auto"/>
            </w:pPr>
            <w:r>
              <w:rPr>
                <w:rFonts w:ascii="Calibri" w:hAnsi="Calibri"/>
                <w:b/>
                <w:color w:val="172B4D"/>
                <w:sz w:val="17"/>
              </w:rPr>
              <w:t>Course &amp; Assignment</w:t>
            </w:r>
          </w:p>
        </w:tc>
        <w:tc>
          <w:tcPr>
            <w:tcW w:type="dxa" w:w="6912"/>
            <w:shd w:fill="F8FAFC"/>
            <w:tcMar>
              <w:top w:w="80" w:type="dxa"/>
              <w:bottom w:w="80" w:type="dxa"/>
              <w:left w:w="120" w:type="dxa"/>
              <w:right w:w="120" w:type="dxa"/>
            </w:tcMar>
          </w:tcPr>
          <w:p>
            <w:pPr>
              <w:spacing w:line="252" w:lineRule="auto"/>
            </w:pPr>
            <w:r>
              <w:rPr>
                <w:rFonts w:ascii="Calibri" w:hAnsi="Calibri"/>
                <w:color w:val="172B4D"/>
                <w:sz w:val="17"/>
              </w:rPr>
              <w:t>CSE 3224 — Software Development Life Cycle (SDLC) Lab | Laboratory 6: Testing in SDLC</w:t>
            </w:r>
          </w:p>
        </w:tc>
      </w:tr>
      <w:tr>
        <w:trPr>
          <w:cantSplit/>
        </w:trPr>
        <w:tc>
          <w:tcPr>
            <w:tcW w:type="dxa" w:w="3168"/>
            <w:shd w:fill="FFFFFF"/>
            <w:tcMar>
              <w:top w:w="80" w:type="dxa"/>
              <w:bottom w:w="80" w:type="dxa"/>
              <w:left w:w="120" w:type="dxa"/>
              <w:right w:w="120" w:type="dxa"/>
            </w:tcMar>
          </w:tcPr>
          <w:p>
            <w:pPr>
              <w:spacing w:line="252" w:lineRule="auto"/>
            </w:pPr>
            <w:r>
              <w:rPr>
                <w:rFonts w:ascii="Calibri" w:hAnsi="Calibri"/>
                <w:b/>
                <w:color w:val="172B4D"/>
                <w:sz w:val="17"/>
              </w:rPr>
              <w:t>Software Architecture</w:t>
            </w:r>
          </w:p>
        </w:tc>
        <w:tc>
          <w:tcPr>
            <w:tcW w:type="dxa" w:w="6912"/>
            <w:shd w:fill="FFFFFF"/>
            <w:tcMar>
              <w:top w:w="80" w:type="dxa"/>
              <w:bottom w:w="80" w:type="dxa"/>
              <w:left w:w="120" w:type="dxa"/>
              <w:right w:w="120" w:type="dxa"/>
            </w:tcMar>
          </w:tcPr>
          <w:p>
            <w:pPr>
              <w:spacing w:line="252" w:lineRule="auto"/>
            </w:pPr>
            <w:r>
              <w:rPr>
                <w:rFonts w:ascii="Calibri" w:hAnsi="Calibri"/>
                <w:color w:val="172B4D"/>
                <w:sz w:val="17"/>
              </w:rPr>
              <w:t>3-Tier Multi-Tenant Architecture (ASP.NET Core Web API, EF Core 20 ERD Tables, React 19 Client)</w:t>
            </w:r>
          </w:p>
        </w:tc>
      </w:tr>
      <w:tr>
        <w:trPr>
          <w:cantSplit/>
        </w:trPr>
        <w:tc>
          <w:tcPr>
            <w:tcW w:type="dxa" w:w="3168"/>
            <w:shd w:fill="F8FAFC"/>
            <w:tcMar>
              <w:top w:w="80" w:type="dxa"/>
              <w:bottom w:w="80" w:type="dxa"/>
              <w:left w:w="120" w:type="dxa"/>
              <w:right w:w="120" w:type="dxa"/>
            </w:tcMar>
          </w:tcPr>
          <w:p>
            <w:pPr>
              <w:spacing w:line="252" w:lineRule="auto"/>
            </w:pPr>
            <w:r>
              <w:rPr>
                <w:rFonts w:ascii="Calibri" w:hAnsi="Calibri"/>
                <w:b/>
                <w:color w:val="172B4D"/>
                <w:sz w:val="17"/>
              </w:rPr>
              <w:t>Backend Technology Stack</w:t>
            </w:r>
          </w:p>
        </w:tc>
        <w:tc>
          <w:tcPr>
            <w:tcW w:type="dxa" w:w="6912"/>
            <w:shd w:fill="F8FAFC"/>
            <w:tcMar>
              <w:top w:w="80" w:type="dxa"/>
              <w:bottom w:w="80" w:type="dxa"/>
              <w:left w:w="120" w:type="dxa"/>
              <w:right w:w="120" w:type="dxa"/>
            </w:tcMar>
          </w:tcPr>
          <w:p>
            <w:pPr>
              <w:spacing w:line="252" w:lineRule="auto"/>
            </w:pPr>
            <w:r>
              <w:rPr>
                <w:rFonts w:ascii="Calibri" w:hAnsi="Calibri"/>
                <w:color w:val="172B4D"/>
                <w:sz w:val="17"/>
              </w:rPr>
              <w:t>.NET 9 / ASP.NET Core Minimal Web API, C# 13, EF Core 9, SQLite, SignalR WebSockets</w:t>
            </w:r>
          </w:p>
        </w:tc>
      </w:tr>
      <w:tr>
        <w:trPr>
          <w:cantSplit/>
        </w:trPr>
        <w:tc>
          <w:tcPr>
            <w:tcW w:type="dxa" w:w="3168"/>
            <w:shd w:fill="FFFFFF"/>
            <w:tcMar>
              <w:top w:w="80" w:type="dxa"/>
              <w:bottom w:w="80" w:type="dxa"/>
              <w:left w:w="120" w:type="dxa"/>
              <w:right w:w="120" w:type="dxa"/>
            </w:tcMar>
          </w:tcPr>
          <w:p>
            <w:pPr>
              <w:spacing w:line="252" w:lineRule="auto"/>
            </w:pPr>
            <w:r>
              <w:rPr>
                <w:rFonts w:ascii="Calibri" w:hAnsi="Calibri"/>
                <w:b/>
                <w:color w:val="172B4D"/>
                <w:sz w:val="17"/>
              </w:rPr>
              <w:t>Frontend Technology Stack</w:t>
            </w:r>
          </w:p>
        </w:tc>
        <w:tc>
          <w:tcPr>
            <w:tcW w:type="dxa" w:w="6912"/>
            <w:shd w:fill="FFFFFF"/>
            <w:tcMar>
              <w:top w:w="80" w:type="dxa"/>
              <w:bottom w:w="80" w:type="dxa"/>
              <w:left w:w="120" w:type="dxa"/>
              <w:right w:w="120" w:type="dxa"/>
            </w:tcMar>
          </w:tcPr>
          <w:p>
            <w:pPr>
              <w:spacing w:line="252" w:lineRule="auto"/>
            </w:pPr>
            <w:r>
              <w:rPr>
                <w:rFonts w:ascii="Calibri" w:hAnsi="Calibri"/>
                <w:color w:val="172B4D"/>
                <w:sz w:val="17"/>
              </w:rPr>
              <w:t>React 19, Vite 8, Tailwind CSS v4, Framer Motion, Lucide Icons, Atlassian Design Tokens</w:t>
            </w:r>
          </w:p>
        </w:tc>
      </w:tr>
      <w:tr>
        <w:trPr>
          <w:cantSplit/>
        </w:trPr>
        <w:tc>
          <w:tcPr>
            <w:tcW w:type="dxa" w:w="3168"/>
            <w:shd w:fill="F8FAFC"/>
            <w:tcMar>
              <w:top w:w="80" w:type="dxa"/>
              <w:bottom w:w="80" w:type="dxa"/>
              <w:left w:w="120" w:type="dxa"/>
              <w:right w:w="120" w:type="dxa"/>
            </w:tcMar>
          </w:tcPr>
          <w:p>
            <w:pPr>
              <w:spacing w:line="252" w:lineRule="auto"/>
            </w:pPr>
            <w:r>
              <w:rPr>
                <w:rFonts w:ascii="Calibri" w:hAnsi="Calibri"/>
                <w:b/>
                <w:color w:val="172B4D"/>
                <w:sz w:val="17"/>
              </w:rPr>
              <w:t>Database Schema</w:t>
            </w:r>
          </w:p>
        </w:tc>
        <w:tc>
          <w:tcPr>
            <w:tcW w:type="dxa" w:w="6912"/>
            <w:shd w:fill="F8FAFC"/>
            <w:tcMar>
              <w:top w:w="80" w:type="dxa"/>
              <w:bottom w:w="80" w:type="dxa"/>
              <w:left w:w="120" w:type="dxa"/>
              <w:right w:w="120" w:type="dxa"/>
            </w:tcMar>
          </w:tcPr>
          <w:p>
            <w:pPr>
              <w:spacing w:line="252" w:lineRule="auto"/>
            </w:pPr>
            <w:r>
              <w:rPr>
                <w:rFonts w:ascii="Calibri" w:hAnsi="Calibri"/>
                <w:color w:val="172B4D"/>
                <w:sz w:val="17"/>
              </w:rPr>
              <w:t>SQLite Relational Database Engine with 20 ERD Tables and Automated Entity Migrations</w:t>
            </w:r>
          </w:p>
        </w:tc>
      </w:tr>
      <w:tr>
        <w:trPr>
          <w:cantSplit/>
        </w:trPr>
        <w:tc>
          <w:tcPr>
            <w:tcW w:type="dxa" w:w="3168"/>
            <w:shd w:fill="FFFFFF"/>
            <w:tcMar>
              <w:top w:w="80" w:type="dxa"/>
              <w:bottom w:w="80" w:type="dxa"/>
              <w:left w:w="120" w:type="dxa"/>
              <w:right w:w="120" w:type="dxa"/>
            </w:tcMar>
          </w:tcPr>
          <w:p>
            <w:pPr>
              <w:spacing w:line="252" w:lineRule="auto"/>
            </w:pPr>
            <w:r>
              <w:rPr>
                <w:rFonts w:ascii="Calibri" w:hAnsi="Calibri"/>
                <w:b/>
                <w:color w:val="172B4D"/>
                <w:sz w:val="17"/>
              </w:rPr>
              <w:t>Authentication &amp; Security</w:t>
            </w:r>
          </w:p>
        </w:tc>
        <w:tc>
          <w:tcPr>
            <w:tcW w:type="dxa" w:w="6912"/>
            <w:shd w:fill="FFFFFF"/>
            <w:tcMar>
              <w:top w:w="80" w:type="dxa"/>
              <w:bottom w:w="80" w:type="dxa"/>
              <w:left w:w="120" w:type="dxa"/>
              <w:right w:w="120" w:type="dxa"/>
            </w:tcMar>
          </w:tcPr>
          <w:p>
            <w:pPr>
              <w:spacing w:line="252" w:lineRule="auto"/>
            </w:pPr>
            <w:r>
              <w:rPr>
                <w:rFonts w:ascii="Calibri" w:hAnsi="Calibri"/>
                <w:color w:val="172B4D"/>
                <w:sz w:val="17"/>
              </w:rPr>
              <w:t>HMAC-SHA256 Cryptographic JWT Bearer Tokens, Salted SHA-256 Hashing, 3-Tier RoleGuards</w:t>
            </w:r>
          </w:p>
        </w:tc>
      </w:tr>
      <w:tr>
        <w:trPr>
          <w:cantSplit/>
        </w:trPr>
        <w:tc>
          <w:tcPr>
            <w:tcW w:type="dxa" w:w="3168"/>
            <w:shd w:fill="F8FAFC"/>
            <w:tcMar>
              <w:top w:w="80" w:type="dxa"/>
              <w:bottom w:w="80" w:type="dxa"/>
              <w:left w:w="120" w:type="dxa"/>
              <w:right w:w="120" w:type="dxa"/>
            </w:tcMar>
          </w:tcPr>
          <w:p>
            <w:pPr>
              <w:spacing w:line="252" w:lineRule="auto"/>
            </w:pPr>
            <w:r>
              <w:rPr>
                <w:rFonts w:ascii="Calibri" w:hAnsi="Calibri"/>
                <w:b/>
                <w:color w:val="172B4D"/>
                <w:sz w:val="17"/>
              </w:rPr>
              <w:t>Testing Scope &amp; Strategy</w:t>
            </w:r>
          </w:p>
        </w:tc>
        <w:tc>
          <w:tcPr>
            <w:tcW w:type="dxa" w:w="6912"/>
            <w:shd w:fill="F8FAFC"/>
            <w:tcMar>
              <w:top w:w="80" w:type="dxa"/>
              <w:bottom w:w="80" w:type="dxa"/>
              <w:left w:w="120" w:type="dxa"/>
              <w:right w:w="120" w:type="dxa"/>
            </w:tcMar>
          </w:tcPr>
          <w:p>
            <w:pPr>
              <w:spacing w:line="252" w:lineRule="auto"/>
            </w:pPr>
            <w:r>
              <w:rPr>
                <w:rFonts w:ascii="Calibri" w:hAnsi="Calibri"/>
                <w:color w:val="172B4D"/>
                <w:sz w:val="17"/>
              </w:rPr>
              <w:t>Comprehensive Automated &amp; Manual Testing covering Unit, Integration, System, and Acceptance (UAT)</w:t>
            </w:r>
          </w:p>
        </w:tc>
      </w:tr>
      <w:tr>
        <w:trPr>
          <w:cantSplit/>
        </w:trPr>
        <w:tc>
          <w:tcPr>
            <w:tcW w:type="dxa" w:w="3168"/>
            <w:shd w:fill="FFFFFF"/>
            <w:tcMar>
              <w:top w:w="80" w:type="dxa"/>
              <w:bottom w:w="80" w:type="dxa"/>
              <w:left w:w="120" w:type="dxa"/>
              <w:right w:w="120" w:type="dxa"/>
            </w:tcMar>
          </w:tcPr>
          <w:p>
            <w:pPr>
              <w:spacing w:line="252" w:lineRule="auto"/>
            </w:pPr>
            <w:r>
              <w:rPr>
                <w:rFonts w:ascii="Calibri" w:hAnsi="Calibri"/>
                <w:b/>
                <w:color w:val="172B4D"/>
                <w:sz w:val="17"/>
              </w:rPr>
              <w:t>Live Verification Source</w:t>
            </w:r>
          </w:p>
        </w:tc>
        <w:tc>
          <w:tcPr>
            <w:tcW w:type="dxa" w:w="6912"/>
            <w:shd w:fill="FFFFFF"/>
            <w:tcMar>
              <w:top w:w="80" w:type="dxa"/>
              <w:bottom w:w="80" w:type="dxa"/>
              <w:left w:w="120" w:type="dxa"/>
              <w:right w:w="120" w:type="dxa"/>
            </w:tcMar>
          </w:tcPr>
          <w:p>
            <w:pPr>
              <w:spacing w:line="252" w:lineRule="auto"/>
            </w:pPr>
            <w:r>
              <w:rPr>
                <w:rFonts w:ascii="Calibri" w:hAnsi="Calibri"/>
                <w:color w:val="172B4D"/>
                <w:sz w:val="17"/>
              </w:rPr>
              <w:t>100% Authentic Screenshots captured live from running backend (Port 5000) and frontend (Port 5173)</w:t>
            </w:r>
          </w:p>
        </w:tc>
      </w:tr>
    </w:tbl>
    <w:p>
      <w:pPr>
        <w:pStyle w:val="Heading1"/>
        <w:keepNext/>
        <w:spacing w:before="280" w:after="100"/>
      </w:pPr>
      <w:r>
        <w:rPr>
          <w:rFonts w:ascii="Calibri" w:hAnsi="Calibri"/>
          <w:b/>
          <w:color w:val="0F294A"/>
          <w:sz w:val="29"/>
        </w:rPr>
        <w:t>1. Executive Summary &amp; Testing Objectives</w:t>
      </w:r>
    </w:p>
    <w:p>
      <w:pPr>
        <w:spacing w:line="276" w:lineRule="auto" w:after="80"/>
      </w:pPr>
      <w:r>
        <w:rPr>
          <w:rFonts w:ascii="Calibri" w:hAnsi="Calibri"/>
          <w:i w:val="0"/>
          <w:color w:val="172B4D"/>
          <w:sz w:val="20"/>
        </w:rPr>
        <w:t>Software testing within the Software Development Life Cycle (SDLC) is the systematic engineering process of confirming and validating that a software application functions strictly as specified by its architectural requirements, satisfies enterprise business criteria, and handles edge-case disruptions gracefully without unhandled crashes. Early defect identification exponentially decreases the cost, effort, and risk associated with resolving defects in production environments, establishing quality assurance as an indispensable pillar of robust software engineering.</w:t>
      </w:r>
    </w:p>
    <w:p>
      <w:pPr>
        <w:spacing w:line="276" w:lineRule="auto" w:after="80"/>
      </w:pPr>
      <w:r>
        <w:rPr>
          <w:rFonts w:ascii="Calibri" w:hAnsi="Calibri"/>
          <w:i w:val="0"/>
          <w:color w:val="172B4D"/>
          <w:sz w:val="20"/>
        </w:rPr>
        <w:t>This laboratory report documents the rigorous verification and validation process conducted on the GrindSet 3-Tier RBC ERP System. The system has been evaluated systematically across all four canonical stages of testing defined in the laboratory syllabus: (1) Unit Testing, (2) Integration Testing, (3) System Testing, and (4) User Acceptance Testing (UAT). Each implemented feature has been subjected to a structured battery of test cases categorized into Normal (Expected), Boundary (Edge), Invalid (Negative), and Exceptional (Error &amp; Fault-Tolerance) scenarios.</w:t>
      </w:r>
    </w:p>
    <w:p>
      <w:pPr>
        <w:pStyle w:val="Heading1"/>
        <w:keepNext/>
        <w:spacing w:before="280" w:after="100"/>
      </w:pPr>
      <w:r>
        <w:rPr>
          <w:rFonts w:ascii="Calibri" w:hAnsi="Calibri"/>
          <w:b/>
          <w:color w:val="0F294A"/>
          <w:sz w:val="29"/>
        </w:rPr>
        <w:t>2. Testing Methodology &amp; SDLC Testing Levels</w:t>
      </w:r>
    </w:p>
    <w:p>
      <w:pPr>
        <w:spacing w:line="276" w:lineRule="auto" w:after="80"/>
      </w:pPr>
      <w:r>
        <w:rPr>
          <w:rFonts w:ascii="Calibri" w:hAnsi="Calibri"/>
          <w:b/>
          <w:color w:val="172B4D"/>
          <w:sz w:val="20"/>
        </w:rPr>
        <w:t xml:space="preserve">• </w:t>
      </w:r>
      <w:r>
        <w:rPr>
          <w:rFonts w:ascii="Calibri" w:hAnsi="Calibri"/>
          <w:i w:val="0"/>
          <w:color w:val="172B4D"/>
          <w:sz w:val="20"/>
        </w:rPr>
        <w:t xml:space="preserve">1. Unit Testing: </w:t>
      </w:r>
    </w:p>
    <w:p>
      <w:pPr>
        <w:spacing w:line="276" w:lineRule="auto" w:after="80"/>
      </w:pPr>
      <w:r>
        <w:rPr>
          <w:rFonts w:ascii="Calibri" w:hAnsi="Calibri"/>
          <w:i w:val="0"/>
          <w:color w:val="172B4D"/>
          <w:sz w:val="20"/>
        </w:rPr>
        <w:t>Level 1 focuses on isolated code units, validating that internal methods, mathematical calculations, validation routines, and cryptographic routines function flawlessly without external dependencies (e.g., password complexity regex evaluators, salted SHA-256 hashers, liquidity formulas).</w:t>
      </w:r>
    </w:p>
    <w:p>
      <w:pPr>
        <w:spacing w:line="276" w:lineRule="auto" w:after="80"/>
      </w:pPr>
      <w:r>
        <w:rPr>
          <w:rFonts w:ascii="Calibri" w:hAnsi="Calibri"/>
          <w:b/>
          <w:color w:val="172B4D"/>
          <w:sz w:val="20"/>
        </w:rPr>
        <w:t xml:space="preserve">• </w:t>
      </w:r>
      <w:r>
        <w:rPr>
          <w:rFonts w:ascii="Calibri" w:hAnsi="Calibri"/>
          <w:i w:val="0"/>
          <w:color w:val="172B4D"/>
          <w:sz w:val="20"/>
        </w:rPr>
        <w:t xml:space="preserve">2. Integration Testing: </w:t>
      </w:r>
    </w:p>
    <w:p>
      <w:pPr>
        <w:spacing w:line="276" w:lineRule="auto" w:after="80"/>
      </w:pPr>
      <w:r>
        <w:rPr>
          <w:rFonts w:ascii="Calibri" w:hAnsi="Calibri"/>
          <w:i w:val="0"/>
          <w:color w:val="172B4D"/>
          <w:sz w:val="20"/>
        </w:rPr>
        <w:t>Level 2 verifies interfaces and data exchanges between interconnected software components and external infrastructure (e.g., ASP.NET Core endpoints communicating with Entity Framework Core, SQLite transactions, SignalR WebSocket broadcasts).</w:t>
      </w:r>
    </w:p>
    <w:p>
      <w:pPr>
        <w:spacing w:line="276" w:lineRule="auto" w:after="80"/>
      </w:pPr>
      <w:r>
        <w:rPr>
          <w:rFonts w:ascii="Calibri" w:hAnsi="Calibri"/>
          <w:b/>
          <w:color w:val="172B4D"/>
          <w:sz w:val="20"/>
        </w:rPr>
        <w:t xml:space="preserve">• </w:t>
      </w:r>
      <w:r>
        <w:rPr>
          <w:rFonts w:ascii="Calibri" w:hAnsi="Calibri"/>
          <w:i w:val="0"/>
          <w:color w:val="172B4D"/>
          <w:sz w:val="20"/>
        </w:rPr>
        <w:t xml:space="preserve">3. System Testing: </w:t>
      </w:r>
    </w:p>
    <w:p>
      <w:pPr>
        <w:spacing w:line="276" w:lineRule="auto" w:after="80"/>
      </w:pPr>
      <w:r>
        <w:rPr>
          <w:rFonts w:ascii="Calibri" w:hAnsi="Calibri"/>
          <w:i w:val="0"/>
          <w:color w:val="172B4D"/>
          <w:sz w:val="20"/>
        </w:rPr>
        <w:t>Level 3 evaluates the integrated system as a whole in an environment simulating real-world operations (e.g., multi-stage tenant approval, Glassmorphism blur lockout overlays, brand navigation route guards, live UI state transitions).</w:t>
      </w:r>
    </w:p>
    <w:p>
      <w:pPr>
        <w:spacing w:line="276" w:lineRule="auto" w:after="80"/>
      </w:pPr>
      <w:r>
        <w:rPr>
          <w:rFonts w:ascii="Calibri" w:hAnsi="Calibri"/>
          <w:b/>
          <w:color w:val="172B4D"/>
          <w:sz w:val="20"/>
        </w:rPr>
        <w:t xml:space="preserve">• </w:t>
      </w:r>
      <w:r>
        <w:rPr>
          <w:rFonts w:ascii="Calibri" w:hAnsi="Calibri"/>
          <w:i w:val="0"/>
          <w:color w:val="172B4D"/>
          <w:sz w:val="20"/>
        </w:rPr>
        <w:t xml:space="preserve">4. User Acceptance Testing (UAT): </w:t>
      </w:r>
    </w:p>
    <w:p>
      <w:pPr>
        <w:spacing w:line="276" w:lineRule="auto" w:after="80"/>
      </w:pPr>
      <w:r>
        <w:rPr>
          <w:rFonts w:ascii="Calibri" w:hAnsi="Calibri"/>
          <w:i w:val="0"/>
          <w:color w:val="172B4D"/>
          <w:sz w:val="20"/>
        </w:rPr>
        <w:t>Level 4 constitutes the final verification phase, ensuring that the software satisfies end-user operational workflows and business deliverables from the perspective of four distinct enterprise personas: Chief System Administrator, Company Owner / CFO, Lead Project Manager, and Software Engineer / Employee.</w:t>
      </w:r>
    </w:p>
    <w:p>
      <w:pPr>
        <w:pStyle w:val="Heading2"/>
        <w:keepNext/>
        <w:spacing w:before="200" w:after="80"/>
      </w:pPr>
      <w:r>
        <w:rPr>
          <w:rFonts w:ascii="Calibri" w:hAnsi="Calibri"/>
          <w:b/>
          <w:color w:val="0052CC"/>
          <w:sz w:val="24"/>
        </w:rPr>
        <w:t>Instructor Exception Scenarios Mandate Compliance</w:t>
      </w:r>
    </w:p>
    <w:p>
      <w:pPr>
        <w:spacing w:line="276" w:lineRule="auto" w:after="80"/>
      </w:pPr>
      <w:r>
        <w:rPr>
          <w:rFonts w:ascii="Calibri" w:hAnsi="Calibri"/>
          <w:i w:val="0"/>
          <w:color w:val="172B4D"/>
          <w:sz w:val="20"/>
        </w:rPr>
        <w:t>The course instructor provided explicit instruction regarding exception scenarios: 'Handle the exception scenarios properly. Students will be penalized heavily if they don’t cover the exceptional inputs/errors in the final checkpoint.' In strict adherence to this requirement, this report dedicates specific, structured test suites and deep architectural analyses to exceptional failure modes, including database connection disruptions, orphaned foreign keys, self-referential fund reallocations, tampered cryptographic token signatures, and unauthorized cross-tenant privilege escalation attempts.</w:t>
      </w:r>
    </w:p>
    <w:p>
      <w:pPr>
        <w:pStyle w:val="Heading1"/>
        <w:keepNext/>
        <w:spacing w:before="280" w:after="100"/>
      </w:pPr>
      <w:r>
        <w:rPr>
          <w:rFonts w:ascii="Calibri" w:hAnsi="Calibri"/>
          <w:b/>
          <w:color w:val="0F294A"/>
          <w:sz w:val="29"/>
        </w:rPr>
        <w:t>3. Implemented Subsystems &amp; Architectural Scope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rPr>
          <w:tblHeader/>
          <w:cantSplit/>
        </w:trPr>
        <w:tc>
          <w:tcPr>
            <w:tcW w:type="dxa" w:w="2304"/>
            <w:shd w:fill="0F294A"/>
            <w:tcMar>
              <w:top w:w="120" w:type="dxa"/>
              <w:bottom w:w="120" w:type="dxa"/>
              <w:left w:w="140" w:type="dxa"/>
              <w:right w:w="140" w:type="dxa"/>
            </w:tcMar>
          </w:tcPr>
          <w:p>
            <w:pPr>
              <w:jc w:val="left"/>
            </w:pPr>
            <w:r>
              <w:rPr>
                <w:rFonts w:ascii="Calibri" w:hAnsi="Calibri"/>
                <w:b/>
                <w:color w:val="FFFFFF"/>
                <w:sz w:val="19"/>
              </w:rPr>
              <w:t>Subsystem Name</w:t>
            </w:r>
          </w:p>
        </w:tc>
        <w:tc>
          <w:tcPr>
            <w:tcW w:type="dxa" w:w="1296"/>
            <w:shd w:fill="0F294A"/>
            <w:tcMar>
              <w:top w:w="120" w:type="dxa"/>
              <w:bottom w:w="120" w:type="dxa"/>
              <w:left w:w="140" w:type="dxa"/>
              <w:right w:w="140" w:type="dxa"/>
            </w:tcMar>
          </w:tcPr>
          <w:p>
            <w:pPr>
              <w:jc w:val="left"/>
            </w:pPr>
            <w:r>
              <w:rPr>
                <w:rFonts w:ascii="Calibri" w:hAnsi="Calibri"/>
                <w:b/>
                <w:color w:val="FFFFFF"/>
                <w:sz w:val="19"/>
              </w:rPr>
              <w:t>Module Code</w:t>
            </w:r>
          </w:p>
        </w:tc>
        <w:tc>
          <w:tcPr>
            <w:tcW w:type="dxa" w:w="3600"/>
            <w:shd w:fill="0F294A"/>
            <w:tcMar>
              <w:top w:w="120" w:type="dxa"/>
              <w:bottom w:w="120" w:type="dxa"/>
              <w:left w:w="140" w:type="dxa"/>
              <w:right w:w="140" w:type="dxa"/>
            </w:tcMar>
          </w:tcPr>
          <w:p>
            <w:pPr>
              <w:jc w:val="left"/>
            </w:pPr>
            <w:r>
              <w:rPr>
                <w:rFonts w:ascii="Calibri" w:hAnsi="Calibri"/>
                <w:b/>
                <w:color w:val="FFFFFF"/>
                <w:sz w:val="19"/>
              </w:rPr>
              <w:t>Key Implemented Features</w:t>
            </w:r>
          </w:p>
        </w:tc>
        <w:tc>
          <w:tcPr>
            <w:tcW w:type="dxa" w:w="2880"/>
            <w:shd w:fill="0F294A"/>
            <w:tcMar>
              <w:top w:w="120" w:type="dxa"/>
              <w:bottom w:w="120" w:type="dxa"/>
              <w:left w:w="140" w:type="dxa"/>
              <w:right w:w="140" w:type="dxa"/>
            </w:tcMar>
          </w:tcPr>
          <w:p>
            <w:pPr>
              <w:jc w:val="left"/>
            </w:pPr>
            <w:r>
              <w:rPr>
                <w:rFonts w:ascii="Calibri" w:hAnsi="Calibri"/>
                <w:b/>
                <w:color w:val="FFFFFF"/>
                <w:sz w:val="19"/>
              </w:rPr>
              <w:t>Primary Verification Focus</w:t>
            </w:r>
          </w:p>
        </w:tc>
      </w:tr>
      <w:tr>
        <w:trPr>
          <w:cantSplit/>
        </w:trPr>
        <w:tc>
          <w:tcPr>
            <w:tcW w:type="dxa" w:w="2304"/>
            <w:shd w:fill="FFFFFF"/>
            <w:tcMar>
              <w:top w:w="80" w:type="dxa"/>
              <w:bottom w:w="80" w:type="dxa"/>
              <w:left w:w="120" w:type="dxa"/>
              <w:right w:w="120" w:type="dxa"/>
            </w:tcMar>
          </w:tcPr>
          <w:p>
            <w:pPr>
              <w:spacing w:line="252" w:lineRule="auto"/>
            </w:pPr>
            <w:r>
              <w:rPr>
                <w:rFonts w:ascii="Calibri" w:hAnsi="Calibri"/>
                <w:b/>
                <w:color w:val="172B4D"/>
                <w:sz w:val="17"/>
              </w:rPr>
              <w:t>Authentication &amp; Identity</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AUTH</w:t>
            </w:r>
          </w:p>
        </w:tc>
        <w:tc>
          <w:tcPr>
            <w:tcW w:type="dxa" w:w="3600"/>
            <w:shd w:fill="FFFFFF"/>
            <w:tcMar>
              <w:top w:w="80" w:type="dxa"/>
              <w:bottom w:w="80" w:type="dxa"/>
              <w:left w:w="120" w:type="dxa"/>
              <w:right w:w="120" w:type="dxa"/>
            </w:tcMar>
          </w:tcPr>
          <w:p>
            <w:pPr>
              <w:spacing w:line="252" w:lineRule="auto"/>
            </w:pPr>
            <w:r>
              <w:rPr>
                <w:rFonts w:ascii="Calibri" w:hAnsi="Calibri"/>
                <w:color w:val="172B4D"/>
                <w:sz w:val="17"/>
              </w:rPr>
              <w:t>Signup, Login, Password Complexity, SHA-256 Hashing, JWT Bearer Tokens</w:t>
            </w:r>
          </w:p>
        </w:tc>
        <w:tc>
          <w:tcPr>
            <w:tcW w:type="dxa" w:w="2880"/>
            <w:shd w:fill="FFFFFF"/>
            <w:tcMar>
              <w:top w:w="80" w:type="dxa"/>
              <w:bottom w:w="80" w:type="dxa"/>
              <w:left w:w="120" w:type="dxa"/>
              <w:right w:w="120" w:type="dxa"/>
            </w:tcMar>
          </w:tcPr>
          <w:p>
            <w:pPr>
              <w:spacing w:line="252" w:lineRule="auto"/>
            </w:pPr>
            <w:r>
              <w:rPr>
                <w:rFonts w:ascii="Calibri" w:hAnsi="Calibri"/>
                <w:color w:val="172B4D"/>
                <w:sz w:val="17"/>
              </w:rPr>
              <w:t>Cryptographic security, credential validation, token tamper resistance</w:t>
            </w:r>
          </w:p>
        </w:tc>
      </w:tr>
      <w:tr>
        <w:trPr>
          <w:cantSplit/>
        </w:trPr>
        <w:tc>
          <w:tcPr>
            <w:tcW w:type="dxa" w:w="2304"/>
            <w:shd w:fill="F8FAFC"/>
            <w:tcMar>
              <w:top w:w="80" w:type="dxa"/>
              <w:bottom w:w="80" w:type="dxa"/>
              <w:left w:w="120" w:type="dxa"/>
              <w:right w:w="120" w:type="dxa"/>
            </w:tcMar>
          </w:tcPr>
          <w:p>
            <w:pPr>
              <w:spacing w:line="252" w:lineRule="auto"/>
            </w:pPr>
            <w:r>
              <w:rPr>
                <w:rFonts w:ascii="Calibri" w:hAnsi="Calibri"/>
                <w:b/>
                <w:color w:val="172B4D"/>
                <w:sz w:val="17"/>
              </w:rPr>
              <w:t>3-Tier RBAC &amp; Governance</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RBAC</w:t>
            </w:r>
          </w:p>
        </w:tc>
        <w:tc>
          <w:tcPr>
            <w:tcW w:type="dxa" w:w="3600"/>
            <w:shd w:fill="F8FAFC"/>
            <w:tcMar>
              <w:top w:w="80" w:type="dxa"/>
              <w:bottom w:w="80" w:type="dxa"/>
              <w:left w:w="120" w:type="dxa"/>
              <w:right w:w="120" w:type="dxa"/>
            </w:tcMar>
          </w:tcPr>
          <w:p>
            <w:pPr>
              <w:spacing w:line="252" w:lineRule="auto"/>
            </w:pPr>
            <w:r>
              <w:rPr>
                <w:rFonts w:ascii="Calibri" w:hAnsi="Calibri"/>
                <w:color w:val="172B4D"/>
                <w:sz w:val="17"/>
              </w:rPr>
              <w:t>SuperAdmin, Company Owner, and Employee role segregation; Workday RoleGuards</w:t>
            </w:r>
          </w:p>
        </w:tc>
        <w:tc>
          <w:tcPr>
            <w:tcW w:type="dxa" w:w="2880"/>
            <w:shd w:fill="F8FAFC"/>
            <w:tcMar>
              <w:top w:w="80" w:type="dxa"/>
              <w:bottom w:w="80" w:type="dxa"/>
              <w:left w:w="120" w:type="dxa"/>
              <w:right w:w="120" w:type="dxa"/>
            </w:tcMar>
          </w:tcPr>
          <w:p>
            <w:pPr>
              <w:spacing w:line="252" w:lineRule="auto"/>
            </w:pPr>
            <w:r>
              <w:rPr>
                <w:rFonts w:ascii="Calibri" w:hAnsi="Calibri"/>
                <w:color w:val="172B4D"/>
                <w:sz w:val="17"/>
              </w:rPr>
              <w:t>Zero cross-tenant leakage, authorization enforcement, endpoint defense</w:t>
            </w:r>
          </w:p>
        </w:tc>
      </w:tr>
      <w:tr>
        <w:trPr>
          <w:cantSplit/>
        </w:trPr>
        <w:tc>
          <w:tcPr>
            <w:tcW w:type="dxa" w:w="2304"/>
            <w:shd w:fill="FFFFFF"/>
            <w:tcMar>
              <w:top w:w="80" w:type="dxa"/>
              <w:bottom w:w="80" w:type="dxa"/>
              <w:left w:w="120" w:type="dxa"/>
              <w:right w:w="120" w:type="dxa"/>
            </w:tcMar>
          </w:tcPr>
          <w:p>
            <w:pPr>
              <w:spacing w:line="252" w:lineRule="auto"/>
            </w:pPr>
            <w:r>
              <w:rPr>
                <w:rFonts w:ascii="Calibri" w:hAnsi="Calibri"/>
                <w:b/>
                <w:color w:val="172B4D"/>
                <w:sz w:val="17"/>
              </w:rPr>
              <w:t>Registration &amp; Approval</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APPROVAL</w:t>
            </w:r>
          </w:p>
        </w:tc>
        <w:tc>
          <w:tcPr>
            <w:tcW w:type="dxa" w:w="3600"/>
            <w:shd w:fill="FFFFFF"/>
            <w:tcMar>
              <w:top w:w="80" w:type="dxa"/>
              <w:bottom w:w="80" w:type="dxa"/>
              <w:left w:w="120" w:type="dxa"/>
              <w:right w:w="120" w:type="dxa"/>
            </w:tcMar>
          </w:tcPr>
          <w:p>
            <w:pPr>
              <w:spacing w:line="252" w:lineRule="auto"/>
            </w:pPr>
            <w:r>
              <w:rPr>
                <w:rFonts w:ascii="Calibri" w:hAnsi="Calibri"/>
                <w:color w:val="172B4D"/>
                <w:sz w:val="17"/>
              </w:rPr>
              <w:t>Company (PendingAdmin), Employee (PendingCompany), Glassmorphism Lockout</w:t>
            </w:r>
          </w:p>
        </w:tc>
        <w:tc>
          <w:tcPr>
            <w:tcW w:type="dxa" w:w="2880"/>
            <w:shd w:fill="FFFFFF"/>
            <w:tcMar>
              <w:top w:w="80" w:type="dxa"/>
              <w:bottom w:w="80" w:type="dxa"/>
              <w:left w:w="120" w:type="dxa"/>
              <w:right w:w="120" w:type="dxa"/>
            </w:tcMar>
          </w:tcPr>
          <w:p>
            <w:pPr>
              <w:spacing w:line="252" w:lineRule="auto"/>
            </w:pPr>
            <w:r>
              <w:rPr>
                <w:rFonts w:ascii="Calibri" w:hAnsi="Calibri"/>
                <w:color w:val="172B4D"/>
                <w:sz w:val="17"/>
              </w:rPr>
              <w:t>Multi-stage onboarding governance, pre-approval asset lockout</w:t>
            </w:r>
          </w:p>
        </w:tc>
      </w:tr>
      <w:tr>
        <w:trPr>
          <w:cantSplit/>
        </w:trPr>
        <w:tc>
          <w:tcPr>
            <w:tcW w:type="dxa" w:w="2304"/>
            <w:shd w:fill="F8FAFC"/>
            <w:tcMar>
              <w:top w:w="80" w:type="dxa"/>
              <w:bottom w:w="80" w:type="dxa"/>
              <w:left w:w="120" w:type="dxa"/>
              <w:right w:w="120" w:type="dxa"/>
            </w:tcMar>
          </w:tcPr>
          <w:p>
            <w:pPr>
              <w:spacing w:line="252" w:lineRule="auto"/>
            </w:pPr>
            <w:r>
              <w:rPr>
                <w:rFonts w:ascii="Calibri" w:hAnsi="Calibri"/>
                <w:b/>
                <w:color w:val="172B4D"/>
                <w:sz w:val="17"/>
              </w:rPr>
              <w:t>Company &amp; Workforce</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WORKFORCE</w:t>
            </w:r>
          </w:p>
        </w:tc>
        <w:tc>
          <w:tcPr>
            <w:tcW w:type="dxa" w:w="3600"/>
            <w:shd w:fill="F8FAFC"/>
            <w:tcMar>
              <w:top w:w="80" w:type="dxa"/>
              <w:bottom w:w="80" w:type="dxa"/>
              <w:left w:w="120" w:type="dxa"/>
              <w:right w:w="120" w:type="dxa"/>
            </w:tcMar>
          </w:tcPr>
          <w:p>
            <w:pPr>
              <w:spacing w:line="252" w:lineRule="auto"/>
            </w:pPr>
            <w:r>
              <w:rPr>
                <w:rFonts w:ascii="Calibri" w:hAnsi="Calibri"/>
                <w:color w:val="172B4D"/>
                <w:sz w:val="17"/>
              </w:rPr>
              <w:t>Department creation, Employee onboarding, Hourly billing rates ($85–$115/hr)</w:t>
            </w:r>
          </w:p>
        </w:tc>
        <w:tc>
          <w:tcPr>
            <w:tcW w:type="dxa" w:w="2880"/>
            <w:shd w:fill="F8FAFC"/>
            <w:tcMar>
              <w:top w:w="80" w:type="dxa"/>
              <w:bottom w:w="80" w:type="dxa"/>
              <w:left w:w="120" w:type="dxa"/>
              <w:right w:w="120" w:type="dxa"/>
            </w:tcMar>
          </w:tcPr>
          <w:p>
            <w:pPr>
              <w:spacing w:line="252" w:lineRule="auto"/>
            </w:pPr>
            <w:r>
              <w:rPr>
                <w:rFonts w:ascii="Calibri" w:hAnsi="Calibri"/>
                <w:color w:val="172B4D"/>
                <w:sz w:val="17"/>
              </w:rPr>
              <w:t>Workforce roster persistence, billing calculations, suspension logic</w:t>
            </w:r>
          </w:p>
        </w:tc>
      </w:tr>
      <w:tr>
        <w:trPr>
          <w:cantSplit/>
        </w:trPr>
        <w:tc>
          <w:tcPr>
            <w:tcW w:type="dxa" w:w="2304"/>
            <w:shd w:fill="FFFFFF"/>
            <w:tcMar>
              <w:top w:w="80" w:type="dxa"/>
              <w:bottom w:w="80" w:type="dxa"/>
              <w:left w:w="120" w:type="dxa"/>
              <w:right w:w="120" w:type="dxa"/>
            </w:tcMar>
          </w:tcPr>
          <w:p>
            <w:pPr>
              <w:spacing w:line="252" w:lineRule="auto"/>
            </w:pPr>
            <w:r>
              <w:rPr>
                <w:rFonts w:ascii="Calibri" w:hAnsi="Calibri"/>
                <w:b/>
                <w:color w:val="172B4D"/>
                <w:sz w:val="17"/>
              </w:rPr>
              <w:t>Project Management &amp; Agile</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PROJECTS</w:t>
            </w:r>
          </w:p>
        </w:tc>
        <w:tc>
          <w:tcPr>
            <w:tcW w:type="dxa" w:w="3600"/>
            <w:shd w:fill="FFFFFF"/>
            <w:tcMar>
              <w:top w:w="80" w:type="dxa"/>
              <w:bottom w:w="80" w:type="dxa"/>
              <w:left w:w="120" w:type="dxa"/>
              <w:right w:w="120" w:type="dxa"/>
            </w:tcMar>
          </w:tcPr>
          <w:p>
            <w:pPr>
              <w:spacing w:line="252" w:lineRule="auto"/>
            </w:pPr>
            <w:r>
              <w:rPr>
                <w:rFonts w:ascii="Calibri" w:hAnsi="Calibri"/>
                <w:color w:val="172B4D"/>
                <w:sz w:val="17"/>
              </w:rPr>
              <w:t>Project scope &amp; milestones, Agile Sprint Kanban board, Story points</w:t>
            </w:r>
          </w:p>
        </w:tc>
        <w:tc>
          <w:tcPr>
            <w:tcW w:type="dxa" w:w="2880"/>
            <w:shd w:fill="FFFFFF"/>
            <w:tcMar>
              <w:top w:w="80" w:type="dxa"/>
              <w:bottom w:w="80" w:type="dxa"/>
              <w:left w:w="120" w:type="dxa"/>
              <w:right w:w="120" w:type="dxa"/>
            </w:tcMar>
          </w:tcPr>
          <w:p>
            <w:pPr>
              <w:spacing w:line="252" w:lineRule="auto"/>
            </w:pPr>
            <w:r>
              <w:rPr>
                <w:rFonts w:ascii="Calibri" w:hAnsi="Calibri"/>
                <w:color w:val="172B4D"/>
                <w:sz w:val="17"/>
              </w:rPr>
              <w:t>Project-scoped task accountability, status state transitions</w:t>
            </w:r>
          </w:p>
        </w:tc>
      </w:tr>
      <w:tr>
        <w:trPr>
          <w:cantSplit/>
        </w:trPr>
        <w:tc>
          <w:tcPr>
            <w:tcW w:type="dxa" w:w="2304"/>
            <w:shd w:fill="F8FAFC"/>
            <w:tcMar>
              <w:top w:w="80" w:type="dxa"/>
              <w:bottom w:w="80" w:type="dxa"/>
              <w:left w:w="120" w:type="dxa"/>
              <w:right w:w="120" w:type="dxa"/>
            </w:tcMar>
          </w:tcPr>
          <w:p>
            <w:pPr>
              <w:spacing w:line="252" w:lineRule="auto"/>
            </w:pPr>
            <w:r>
              <w:rPr>
                <w:rFonts w:ascii="Calibri" w:hAnsi="Calibri"/>
                <w:b/>
                <w:color w:val="172B4D"/>
                <w:sz w:val="17"/>
              </w:rPr>
              <w:t>Finance &amp; General Ledger</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FINANCE</w:t>
            </w:r>
          </w:p>
        </w:tc>
        <w:tc>
          <w:tcPr>
            <w:tcW w:type="dxa" w:w="3600"/>
            <w:shd w:fill="F8FAFC"/>
            <w:tcMar>
              <w:top w:w="80" w:type="dxa"/>
              <w:bottom w:w="80" w:type="dxa"/>
              <w:left w:w="120" w:type="dxa"/>
              <w:right w:w="120" w:type="dxa"/>
            </w:tcMar>
          </w:tcPr>
          <w:p>
            <w:pPr>
              <w:spacing w:line="252" w:lineRule="auto"/>
            </w:pPr>
            <w:r>
              <w:rPr>
                <w:rFonts w:ascii="Calibri" w:hAnsi="Calibri"/>
                <w:color w:val="172B4D"/>
                <w:sz w:val="17"/>
              </w:rPr>
              <w:t>Operating accounts, Liquidity percentage (&lt; 20% alert), Fund reallocation</w:t>
            </w:r>
          </w:p>
        </w:tc>
        <w:tc>
          <w:tcPr>
            <w:tcW w:type="dxa" w:w="2880"/>
            <w:shd w:fill="F8FAFC"/>
            <w:tcMar>
              <w:top w:w="80" w:type="dxa"/>
              <w:bottom w:w="80" w:type="dxa"/>
              <w:left w:w="120" w:type="dxa"/>
              <w:right w:w="120" w:type="dxa"/>
            </w:tcMar>
          </w:tcPr>
          <w:p>
            <w:pPr>
              <w:spacing w:line="252" w:lineRule="auto"/>
            </w:pPr>
            <w:r>
              <w:rPr>
                <w:rFonts w:ascii="Calibri" w:hAnsi="Calibri"/>
                <w:color w:val="172B4D"/>
                <w:sz w:val="17"/>
              </w:rPr>
              <w:t>Atomic double-entry transfers, overdraw prevention, audit trails</w:t>
            </w:r>
          </w:p>
        </w:tc>
      </w:tr>
    </w:tbl>
    <w:p>
      <w:pPr>
        <w:pStyle w:val="Heading1"/>
        <w:keepNext/>
        <w:spacing w:before="280" w:after="100"/>
      </w:pPr>
      <w:r>
        <w:rPr>
          <w:rFonts w:ascii="Calibri" w:hAnsi="Calibri"/>
          <w:b/>
          <w:color w:val="0F294A"/>
          <w:sz w:val="29"/>
        </w:rPr>
        <w:t>4. Comprehensive Test Case Execution Matrix</w:t>
      </w:r>
    </w:p>
    <w:p>
      <w:pPr>
        <w:spacing w:line="276" w:lineRule="auto" w:after="80"/>
      </w:pPr>
      <w:r>
        <w:rPr>
          <w:rFonts w:ascii="Calibri" w:hAnsi="Calibri"/>
          <w:i w:val="0"/>
          <w:color w:val="172B4D"/>
          <w:sz w:val="20"/>
        </w:rPr>
        <w:t>The following structured tables document the systematically executed test cases covering all implemented features of the GrindSet ERP system. In strict compliance with laboratory instructions, each subsystem table features 5 to 6 focused test cases spanning Normal, Boundary, Invalid, and Exceptional scenarios across the 4 SDLC levels, followed immediately by fresh, authentic browser screenshots captured live from the running system.</w:t>
      </w:r>
    </w:p>
    <w:p>
      <w:pPr>
        <w:pStyle w:val="Heading2"/>
        <w:keepNext/>
        <w:spacing w:before="200" w:after="80"/>
      </w:pPr>
      <w:r>
        <w:rPr>
          <w:rFonts w:ascii="Calibri" w:hAnsi="Calibri"/>
          <w:b/>
          <w:color w:val="0052CC"/>
          <w:sz w:val="24"/>
        </w:rPr>
        <w:t>4.1 Subsystem 1: Authentication, Cryptography &amp; Identity Management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Test ID</w:t>
            </w:r>
          </w:p>
        </w:tc>
        <w:tc>
          <w:tcPr>
            <w:tcW w:type="dxa" w:w="1008"/>
            <w:shd w:fill="0F294A"/>
            <w:tcMar>
              <w:top w:w="120" w:type="dxa"/>
              <w:bottom w:w="120" w:type="dxa"/>
              <w:left w:w="140" w:type="dxa"/>
              <w:right w:w="140" w:type="dxa"/>
            </w:tcMar>
          </w:tcPr>
          <w:p>
            <w:pPr>
              <w:jc w:val="left"/>
            </w:pPr>
            <w:r>
              <w:rPr>
                <w:rFonts w:ascii="Calibri" w:hAnsi="Calibri"/>
                <w:b/>
                <w:color w:val="FFFFFF"/>
                <w:sz w:val="19"/>
              </w:rPr>
              <w:t>Level</w:t>
            </w:r>
          </w:p>
        </w:tc>
        <w:tc>
          <w:tcPr>
            <w:tcW w:type="dxa" w:w="1152"/>
            <w:shd w:fill="0F294A"/>
            <w:tcMar>
              <w:top w:w="120" w:type="dxa"/>
              <w:bottom w:w="120" w:type="dxa"/>
              <w:left w:w="140" w:type="dxa"/>
              <w:right w:w="140" w:type="dxa"/>
            </w:tcMar>
          </w:tcPr>
          <w:p>
            <w:pPr>
              <w:jc w:val="left"/>
            </w:pPr>
            <w:r>
              <w:rPr>
                <w:rFonts w:ascii="Calibri" w:hAnsi="Calibri"/>
                <w:b/>
                <w:color w:val="FFFFFF"/>
                <w:sz w:val="19"/>
              </w:rPr>
              <w:t>Type</w:t>
            </w:r>
          </w:p>
        </w:tc>
        <w:tc>
          <w:tcPr>
            <w:tcW w:type="dxa" w:w="1872"/>
            <w:shd w:fill="0F294A"/>
            <w:tcMar>
              <w:top w:w="120" w:type="dxa"/>
              <w:bottom w:w="120" w:type="dxa"/>
              <w:left w:w="140" w:type="dxa"/>
              <w:right w:w="140" w:type="dxa"/>
            </w:tcMar>
          </w:tcPr>
          <w:p>
            <w:pPr>
              <w:jc w:val="left"/>
            </w:pPr>
            <w:r>
              <w:rPr>
                <w:rFonts w:ascii="Calibri" w:hAnsi="Calibri"/>
                <w:b/>
                <w:color w:val="FFFFFF"/>
                <w:sz w:val="19"/>
              </w:rPr>
              <w:t>Description &amp; Preconditions</w:t>
            </w:r>
          </w:p>
        </w:tc>
        <w:tc>
          <w:tcPr>
            <w:tcW w:type="dxa" w:w="1728"/>
            <w:shd w:fill="0F294A"/>
            <w:tcMar>
              <w:top w:w="120" w:type="dxa"/>
              <w:bottom w:w="120" w:type="dxa"/>
              <w:left w:w="140" w:type="dxa"/>
              <w:right w:w="140" w:type="dxa"/>
            </w:tcMar>
          </w:tcPr>
          <w:p>
            <w:pPr>
              <w:jc w:val="left"/>
            </w:pPr>
            <w:r>
              <w:rPr>
                <w:rFonts w:ascii="Calibri" w:hAnsi="Calibri"/>
                <w:b/>
                <w:color w:val="FFFFFF"/>
                <w:sz w:val="19"/>
              </w:rPr>
              <w:t>Input Data / Test Steps</w:t>
            </w:r>
          </w:p>
        </w:tc>
        <w:tc>
          <w:tcPr>
            <w:tcW w:type="dxa" w:w="1584"/>
            <w:shd w:fill="0F294A"/>
            <w:tcMar>
              <w:top w:w="120" w:type="dxa"/>
              <w:bottom w:w="120" w:type="dxa"/>
              <w:left w:w="140" w:type="dxa"/>
              <w:right w:w="140" w:type="dxa"/>
            </w:tcMar>
          </w:tcPr>
          <w:p>
            <w:pPr>
              <w:jc w:val="left"/>
            </w:pPr>
            <w:r>
              <w:rPr>
                <w:rFonts w:ascii="Calibri" w:hAnsi="Calibri"/>
                <w:b/>
                <w:color w:val="FFFFFF"/>
                <w:sz w:val="19"/>
              </w:rPr>
              <w:t>Expected Result</w:t>
            </w:r>
          </w:p>
        </w:tc>
        <w:tc>
          <w:tcPr>
            <w:tcW w:type="dxa" w:w="1584"/>
            <w:shd w:fill="0F294A"/>
            <w:tcMar>
              <w:top w:w="120" w:type="dxa"/>
              <w:bottom w:w="120" w:type="dxa"/>
              <w:left w:w="140" w:type="dxa"/>
              <w:right w:w="140" w:type="dxa"/>
            </w:tcMar>
          </w:tcPr>
          <w:p>
            <w:pPr>
              <w:jc w:val="left"/>
            </w:pPr>
            <w:r>
              <w:rPr>
                <w:rFonts w:ascii="Calibri" w:hAnsi="Calibri"/>
                <w:b/>
                <w:color w:val="FFFFFF"/>
                <w:sz w:val="19"/>
              </w:rPr>
              <w:t>Actual Observed Result</w:t>
            </w:r>
          </w:p>
        </w:tc>
        <w:tc>
          <w:tcPr>
            <w:tcW w:type="dxa" w:w="720"/>
            <w:shd w:fill="0F294A"/>
            <w:tcMar>
              <w:top w:w="120" w:type="dxa"/>
              <w:bottom w:w="120" w:type="dxa"/>
              <w:left w:w="140" w:type="dxa"/>
              <w:right w:w="140" w:type="dxa"/>
            </w:tcMar>
          </w:tcPr>
          <w:p>
            <w:pPr>
              <w:jc w:val="left"/>
            </w:pPr>
            <w:r>
              <w:rPr>
                <w:rFonts w:ascii="Calibri" w:hAnsi="Calibri"/>
                <w:b/>
                <w:color w:val="FFFFFF"/>
                <w:sz w:val="19"/>
              </w:rPr>
              <w:t>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TC-AUTH-001</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password complexity validator accepts valid compliant password.</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Input: 'GrindSetSecure2026!' (Length 18, mixed case, numbers, symbol).</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Validation returns isValid = true, error = null.</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Validation returned isValid = true, error = null.</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TC-AUTH-002</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password validation enforces threshold boundary of 8 characters.</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Input 1: 'Aa1!bcD' (7 chars).</w:t>
              <w:br/>
              <w:t>Input 2: 'Aa1!bcDe' (8 chars).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7 chars returns isValid = false ('At least 8 chars'). 8 chars returns true.</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Boundary enforced: 7 chars rejected with error; 8 chars accepted.</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TC-AUTH-003</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Invalid</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password validation rejects passwords lacking uppercase or numbers/symbols.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Input: 'lowercase1234!' and 'NoNumbersLettersOnly'.</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Validation returns false with specific complexity requirement error.</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Validation rejected both malformed inputs with descriptive feedback.</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TC-AUTH-004</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input validator handles null, empty string, and whitespace without crash.</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Input: null, '', '   '.</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Validation gracefully returns false with error 'Password cannot be empty'.</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Handled gracefully without NullReferenceException; returned 400.</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TC-AUTH-005</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POST /api/auth/login succeeds with valid credentials and returns Bearer token.</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Payload: { email: 'corp@acmeglobal.com', password: 'password123' }.</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returns { token, user: { userId: 2, role: 'Company' } }.</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HMAC-SHA256 JWT Bearer Token issued with claims.</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TC-AUTH-006</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POST /api/auth/signup prevents duplicate email registration.</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Payload: { email: 'corp@acmeglobal.com', password: 'Password123!', fullName: 'Duplicate' }.</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400 Bad Request, message: 'An account with this email already exists.'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400 Bad Request returned; database duplicate entity blocked.</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bl>
    <w:p>
      <w:pPr>
        <w:keepNext/>
        <w:spacing w:before="16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ure_table1_auth_modal.png"/>
                    <pic:cNvPicPr/>
                  </pic:nvPicPr>
                  <pic:blipFill>
                    <a:blip r:embed="rId9"/>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1.1: Live GrindSet ERP Sign-In &amp; Authentication Modal (http://localhost:5173/) displaying client-side form controls, role selection, credential inputs, and password security policies.</w:t>
      </w:r>
    </w:p>
    <w:p>
      <w:pPr>
        <w:keepNext/>
        <w:spacing w:before="16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ure1_swagger_api.png"/>
                    <pic:cNvPicPr/>
                  </pic:nvPicPr>
                  <pic:blipFill>
                    <a:blip r:embed="rId10"/>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1.2: Live ASP.NET Core Swagger OpenAPI 3.0 Interactive Documentation (http://localhost:5000/swagger) demonstrating registered RESTful authentication endpoints, JWT Bearer authorization schemes, and schema contracts.</w:t>
      </w:r>
    </w:p>
    <w:p>
      <w:pPr>
        <w:pStyle w:val="Heading2"/>
        <w:keepNext/>
        <w:spacing w:before="200" w:after="80"/>
      </w:pPr>
      <w:r>
        <w:rPr>
          <w:rFonts w:ascii="Calibri" w:hAnsi="Calibri"/>
          <w:b/>
          <w:color w:val="0052CC"/>
          <w:sz w:val="24"/>
        </w:rPr>
        <w:t>4.2 Subsystem 2: 3-Tier Role-Based Access Control (RBAC) &amp; Navigation Governance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Test ID</w:t>
            </w:r>
          </w:p>
        </w:tc>
        <w:tc>
          <w:tcPr>
            <w:tcW w:type="dxa" w:w="1008"/>
            <w:shd w:fill="0F294A"/>
            <w:tcMar>
              <w:top w:w="120" w:type="dxa"/>
              <w:bottom w:w="120" w:type="dxa"/>
              <w:left w:w="140" w:type="dxa"/>
              <w:right w:w="140" w:type="dxa"/>
            </w:tcMar>
          </w:tcPr>
          <w:p>
            <w:pPr>
              <w:jc w:val="left"/>
            </w:pPr>
            <w:r>
              <w:rPr>
                <w:rFonts w:ascii="Calibri" w:hAnsi="Calibri"/>
                <w:b/>
                <w:color w:val="FFFFFF"/>
                <w:sz w:val="19"/>
              </w:rPr>
              <w:t>Level</w:t>
            </w:r>
          </w:p>
        </w:tc>
        <w:tc>
          <w:tcPr>
            <w:tcW w:type="dxa" w:w="1152"/>
            <w:shd w:fill="0F294A"/>
            <w:tcMar>
              <w:top w:w="120" w:type="dxa"/>
              <w:bottom w:w="120" w:type="dxa"/>
              <w:left w:w="140" w:type="dxa"/>
              <w:right w:w="140" w:type="dxa"/>
            </w:tcMar>
          </w:tcPr>
          <w:p>
            <w:pPr>
              <w:jc w:val="left"/>
            </w:pPr>
            <w:r>
              <w:rPr>
                <w:rFonts w:ascii="Calibri" w:hAnsi="Calibri"/>
                <w:b/>
                <w:color w:val="FFFFFF"/>
                <w:sz w:val="19"/>
              </w:rPr>
              <w:t>Type</w:t>
            </w:r>
          </w:p>
        </w:tc>
        <w:tc>
          <w:tcPr>
            <w:tcW w:type="dxa" w:w="1872"/>
            <w:shd w:fill="0F294A"/>
            <w:tcMar>
              <w:top w:w="120" w:type="dxa"/>
              <w:bottom w:w="120" w:type="dxa"/>
              <w:left w:w="140" w:type="dxa"/>
              <w:right w:w="140" w:type="dxa"/>
            </w:tcMar>
          </w:tcPr>
          <w:p>
            <w:pPr>
              <w:jc w:val="left"/>
            </w:pPr>
            <w:r>
              <w:rPr>
                <w:rFonts w:ascii="Calibri" w:hAnsi="Calibri"/>
                <w:b/>
                <w:color w:val="FFFFFF"/>
                <w:sz w:val="19"/>
              </w:rPr>
              <w:t>Description &amp; Preconditions</w:t>
            </w:r>
          </w:p>
        </w:tc>
        <w:tc>
          <w:tcPr>
            <w:tcW w:type="dxa" w:w="1728"/>
            <w:shd w:fill="0F294A"/>
            <w:tcMar>
              <w:top w:w="120" w:type="dxa"/>
              <w:bottom w:w="120" w:type="dxa"/>
              <w:left w:w="140" w:type="dxa"/>
              <w:right w:w="140" w:type="dxa"/>
            </w:tcMar>
          </w:tcPr>
          <w:p>
            <w:pPr>
              <w:jc w:val="left"/>
            </w:pPr>
            <w:r>
              <w:rPr>
                <w:rFonts w:ascii="Calibri" w:hAnsi="Calibri"/>
                <w:b/>
                <w:color w:val="FFFFFF"/>
                <w:sz w:val="19"/>
              </w:rPr>
              <w:t>Input Data / Test Steps</w:t>
            </w:r>
          </w:p>
        </w:tc>
        <w:tc>
          <w:tcPr>
            <w:tcW w:type="dxa" w:w="1584"/>
            <w:shd w:fill="0F294A"/>
            <w:tcMar>
              <w:top w:w="120" w:type="dxa"/>
              <w:bottom w:w="120" w:type="dxa"/>
              <w:left w:w="140" w:type="dxa"/>
              <w:right w:w="140" w:type="dxa"/>
            </w:tcMar>
          </w:tcPr>
          <w:p>
            <w:pPr>
              <w:jc w:val="left"/>
            </w:pPr>
            <w:r>
              <w:rPr>
                <w:rFonts w:ascii="Calibri" w:hAnsi="Calibri"/>
                <w:b/>
                <w:color w:val="FFFFFF"/>
                <w:sz w:val="19"/>
              </w:rPr>
              <w:t>Expected Result</w:t>
            </w:r>
          </w:p>
        </w:tc>
        <w:tc>
          <w:tcPr>
            <w:tcW w:type="dxa" w:w="1584"/>
            <w:shd w:fill="0F294A"/>
            <w:tcMar>
              <w:top w:w="120" w:type="dxa"/>
              <w:bottom w:w="120" w:type="dxa"/>
              <w:left w:w="140" w:type="dxa"/>
              <w:right w:w="140" w:type="dxa"/>
            </w:tcMar>
          </w:tcPr>
          <w:p>
            <w:pPr>
              <w:jc w:val="left"/>
            </w:pPr>
            <w:r>
              <w:rPr>
                <w:rFonts w:ascii="Calibri" w:hAnsi="Calibri"/>
                <w:b/>
                <w:color w:val="FFFFFF"/>
                <w:sz w:val="19"/>
              </w:rPr>
              <w:t>Actual Observed Result</w:t>
            </w:r>
          </w:p>
        </w:tc>
        <w:tc>
          <w:tcPr>
            <w:tcW w:type="dxa" w:w="720"/>
            <w:shd w:fill="0F294A"/>
            <w:tcMar>
              <w:top w:w="120" w:type="dxa"/>
              <w:bottom w:w="120" w:type="dxa"/>
              <w:left w:w="140" w:type="dxa"/>
              <w:right w:w="140" w:type="dxa"/>
            </w:tcMar>
          </w:tcPr>
          <w:p>
            <w:pPr>
              <w:jc w:val="left"/>
            </w:pPr>
            <w:r>
              <w:rPr>
                <w:rFonts w:ascii="Calibri" w:hAnsi="Calibri"/>
                <w:b/>
                <w:color w:val="FFFFFF"/>
                <w:sz w:val="19"/>
              </w:rPr>
              <w:t>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TC-RBAC-001</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SuperAdmin can retrieve tenant registrations queue.</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Send GET /api/admin/pending-companies with Admin Bearer token.</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returns array of pending company tenant objects.</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pending tenant queue returned successfully.</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TC-RBAC-002</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Invalid</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Employee role is blocked from accessing SuperAdmin approval queue.</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Send GET /api/admin/pending-companies with Employee Bearer token.</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403 Forbidden; message: 'Access restricted to System Administrators.'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403 Forbidden returned; unauthorized admin access blocked.</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TC-RBAC-003</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Multi-Tenant Data Isolation: Company 103 owner attempts to access Company 2 projects.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Company 103 owner attempts GET /api/projects/1/details (Belongs to Comp 2).</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System enforces tenant boundary; returns HTTP 403 or empty tenant scope.</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Tenant boundary strictly enforced; zero cross-tenant data leakage.</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TC-RBAC-004</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System</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SuperAdmin Control Center renders governance metrics and queues.</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Authenticate as SuperAdmin (admin@grindset.io) and navigate to /dashboard.</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Control Center renders Tier-1 governance metrics, active companies (9), accounts (117).</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Verified live on UI; dashboard loaded with full administrative controls.</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TC-RBAC-005</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System</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client RoleGuard route protection blocks Employee manually typing /audit in URL.</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Authenticated Employee directly navigates browser URL to http://localhost:5173/audit.</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RoleGuard component intercepts route; renders Atlassian warning screen.</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Access Restricted screen displayed; Employee prevented from viewing audit logs.</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TC-RBAC-006</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System</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Invalid</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clicking GrindSet brand logo in active workspace navigates to Dashboard.</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Authenticated user clicks top-left GrindSet logo in workspace sidebar.</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System redirects user to /dashboard.</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Defect Discovered: Logo was hardcoded to '/', redirecting to public HomePage.</w:t>
            </w:r>
          </w:p>
        </w:tc>
        <w:tc>
          <w:tcPr>
            <w:tcW w:type="dxa" w:w="720"/>
            <w:shd w:fill="F8FAFC"/>
            <w:tcMar>
              <w:top w:w="80" w:type="dxa"/>
              <w:bottom w:w="80" w:type="dxa"/>
              <w:left w:w="120" w:type="dxa"/>
              <w:right w:w="120" w:type="dxa"/>
            </w:tcMar>
          </w:tcPr>
          <w:p>
            <w:pPr>
              <w:spacing w:line="252" w:lineRule="auto"/>
            </w:pPr>
            <w:r>
              <w:rPr>
                <w:rFonts w:ascii="Calibri" w:hAnsi="Calibri"/>
                <w:b/>
                <w:color w:val="DE350B"/>
                <w:sz w:val="17"/>
              </w:rPr>
              <w:t>FAIL (BUG-001)</w:t>
            </w:r>
          </w:p>
        </w:tc>
      </w:tr>
    </w:tbl>
    <w:p>
      <w:pPr>
        <w:keepNext/>
        <w:spacing w:before="160" w:after="4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ure_table2_admin_rbac.png"/>
                    <pic:cNvPicPr/>
                  </pic:nvPicPr>
                  <pic:blipFill>
                    <a:blip r:embed="rId11"/>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2.1: Live System Administrator Control Center (http://localhost:5173/dashboard) under SuperAdmin authority, displaying platform tenant governance, active enterprise companies (9), registered platform accounts (117), and tenant approval queues.</w:t>
      </w:r>
    </w:p>
    <w:p>
      <w:pPr>
        <w:keepNext/>
        <w:spacing w:before="16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ure_table2_roleguard_blocked.png"/>
                    <pic:cNvPicPr/>
                  </pic:nvPicPr>
                  <pic:blipFill>
                    <a:blip r:embed="rId12"/>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2.2: Live Workday-style RoleGuard Security Interception Banner rendered when an authenticated Employee attempts to bypass client navigation and directly access /audit via the browser URL bar.</w:t>
      </w:r>
    </w:p>
    <w:p>
      <w:pPr>
        <w:pStyle w:val="Heading2"/>
        <w:keepNext/>
        <w:spacing w:before="200" w:after="80"/>
      </w:pPr>
      <w:r>
        <w:rPr>
          <w:rFonts w:ascii="Calibri" w:hAnsi="Calibri"/>
          <w:b/>
          <w:color w:val="0052CC"/>
          <w:sz w:val="24"/>
        </w:rPr>
        <w:t>4.3 Subsystem 3: Multi-Stage Registration &amp; Tenant Approval Workflow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Test ID</w:t>
            </w:r>
          </w:p>
        </w:tc>
        <w:tc>
          <w:tcPr>
            <w:tcW w:type="dxa" w:w="1008"/>
            <w:shd w:fill="0F294A"/>
            <w:tcMar>
              <w:top w:w="120" w:type="dxa"/>
              <w:bottom w:w="120" w:type="dxa"/>
              <w:left w:w="140" w:type="dxa"/>
              <w:right w:w="140" w:type="dxa"/>
            </w:tcMar>
          </w:tcPr>
          <w:p>
            <w:pPr>
              <w:jc w:val="left"/>
            </w:pPr>
            <w:r>
              <w:rPr>
                <w:rFonts w:ascii="Calibri" w:hAnsi="Calibri"/>
                <w:b/>
                <w:color w:val="FFFFFF"/>
                <w:sz w:val="19"/>
              </w:rPr>
              <w:t>Level</w:t>
            </w:r>
          </w:p>
        </w:tc>
        <w:tc>
          <w:tcPr>
            <w:tcW w:type="dxa" w:w="1152"/>
            <w:shd w:fill="0F294A"/>
            <w:tcMar>
              <w:top w:w="120" w:type="dxa"/>
              <w:bottom w:w="120" w:type="dxa"/>
              <w:left w:w="140" w:type="dxa"/>
              <w:right w:w="140" w:type="dxa"/>
            </w:tcMar>
          </w:tcPr>
          <w:p>
            <w:pPr>
              <w:jc w:val="left"/>
            </w:pPr>
            <w:r>
              <w:rPr>
                <w:rFonts w:ascii="Calibri" w:hAnsi="Calibri"/>
                <w:b/>
                <w:color w:val="FFFFFF"/>
                <w:sz w:val="19"/>
              </w:rPr>
              <w:t>Type</w:t>
            </w:r>
          </w:p>
        </w:tc>
        <w:tc>
          <w:tcPr>
            <w:tcW w:type="dxa" w:w="1872"/>
            <w:shd w:fill="0F294A"/>
            <w:tcMar>
              <w:top w:w="120" w:type="dxa"/>
              <w:bottom w:w="120" w:type="dxa"/>
              <w:left w:w="140" w:type="dxa"/>
              <w:right w:w="140" w:type="dxa"/>
            </w:tcMar>
          </w:tcPr>
          <w:p>
            <w:pPr>
              <w:jc w:val="left"/>
            </w:pPr>
            <w:r>
              <w:rPr>
                <w:rFonts w:ascii="Calibri" w:hAnsi="Calibri"/>
                <w:b/>
                <w:color w:val="FFFFFF"/>
                <w:sz w:val="19"/>
              </w:rPr>
              <w:t>Description &amp; Preconditions</w:t>
            </w:r>
          </w:p>
        </w:tc>
        <w:tc>
          <w:tcPr>
            <w:tcW w:type="dxa" w:w="1728"/>
            <w:shd w:fill="0F294A"/>
            <w:tcMar>
              <w:top w:w="120" w:type="dxa"/>
              <w:bottom w:w="120" w:type="dxa"/>
              <w:left w:w="140" w:type="dxa"/>
              <w:right w:w="140" w:type="dxa"/>
            </w:tcMar>
          </w:tcPr>
          <w:p>
            <w:pPr>
              <w:jc w:val="left"/>
            </w:pPr>
            <w:r>
              <w:rPr>
                <w:rFonts w:ascii="Calibri" w:hAnsi="Calibri"/>
                <w:b/>
                <w:color w:val="FFFFFF"/>
                <w:sz w:val="19"/>
              </w:rPr>
              <w:t>Input Data / Test Steps</w:t>
            </w:r>
          </w:p>
        </w:tc>
        <w:tc>
          <w:tcPr>
            <w:tcW w:type="dxa" w:w="1584"/>
            <w:shd w:fill="0F294A"/>
            <w:tcMar>
              <w:top w:w="120" w:type="dxa"/>
              <w:bottom w:w="120" w:type="dxa"/>
              <w:left w:w="140" w:type="dxa"/>
              <w:right w:w="140" w:type="dxa"/>
            </w:tcMar>
          </w:tcPr>
          <w:p>
            <w:pPr>
              <w:jc w:val="left"/>
            </w:pPr>
            <w:r>
              <w:rPr>
                <w:rFonts w:ascii="Calibri" w:hAnsi="Calibri"/>
                <w:b/>
                <w:color w:val="FFFFFF"/>
                <w:sz w:val="19"/>
              </w:rPr>
              <w:t>Expected Result</w:t>
            </w:r>
          </w:p>
        </w:tc>
        <w:tc>
          <w:tcPr>
            <w:tcW w:type="dxa" w:w="1584"/>
            <w:shd w:fill="0F294A"/>
            <w:tcMar>
              <w:top w:w="120" w:type="dxa"/>
              <w:bottom w:w="120" w:type="dxa"/>
              <w:left w:w="140" w:type="dxa"/>
              <w:right w:w="140" w:type="dxa"/>
            </w:tcMar>
          </w:tcPr>
          <w:p>
            <w:pPr>
              <w:jc w:val="left"/>
            </w:pPr>
            <w:r>
              <w:rPr>
                <w:rFonts w:ascii="Calibri" w:hAnsi="Calibri"/>
                <w:b/>
                <w:color w:val="FFFFFF"/>
                <w:sz w:val="19"/>
              </w:rPr>
              <w:t>Actual Observed Result</w:t>
            </w:r>
          </w:p>
        </w:tc>
        <w:tc>
          <w:tcPr>
            <w:tcW w:type="dxa" w:w="720"/>
            <w:shd w:fill="0F294A"/>
            <w:tcMar>
              <w:top w:w="120" w:type="dxa"/>
              <w:bottom w:w="120" w:type="dxa"/>
              <w:left w:w="140" w:type="dxa"/>
              <w:right w:w="140" w:type="dxa"/>
            </w:tcMar>
          </w:tcPr>
          <w:p>
            <w:pPr>
              <w:jc w:val="left"/>
            </w:pPr>
            <w:r>
              <w:rPr>
                <w:rFonts w:ascii="Calibri" w:hAnsi="Calibri"/>
                <w:b/>
                <w:color w:val="FFFFFF"/>
                <w:sz w:val="19"/>
              </w:rPr>
              <w:t>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TC-APPR-001</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new Company registration is assigned 'PendingAdmin' status.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POST /api/auth/signup with Role = 'Company', CompanyId = 2.</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User.ApprovalStatus initialized to 'PendingAdmin'.</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User record created with 'PendingAdmin' status; asset lockout active.</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TC-APPR-002</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new Employee signup is assigned 'PendingCompany' status.</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POST /api/auth/signup with Role = 'Employee', CompanyId = 2.</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200 OK; User.ApprovalStatus initialized to 'PendingCompany'.</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User record created with 'PendingCompany' status awaiting employer review.</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TC-APPR-003</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System</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Glassmorphism Blur Lockout Overlay activates for 'PendingCompany' users.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Login as unapproved employee (alex.applicant@acmeglobal.com).</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AppShell detects pending status; activates full-screen blur modal.</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Blur modal displayed; user cannot interact with sidebar, projects, or workforce.</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TC-APPR-004</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Company Owner can approve pending employee applicant.</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Company Owner approves pending Employee (Id = 10) via POST endpoint.</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200 OK; Employee.ApprovalStatus updated to 'Approved'.</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Status updated to 'Approved' in SQLite database; user granted workspace access.</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TC-APPR-005</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Invalid</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structured rejection saves categorization and audit explanation note.</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POST /api/company/reject-employee/11 with Category = 'Invalid Domain'.</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Employee status = 'Rejected'; explanation logged to audit.</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Employee rejected; audit record created with explanation and timestamp.</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bl>
    <w:p>
      <w:pPr>
        <w:keepNext/>
        <w:spacing w:before="160" w:after="4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ure_table3_blur_overlay.png"/>
                    <pic:cNvPicPr/>
                  </pic:nvPicPr>
                  <pic:blipFill>
                    <a:blip r:embed="rId13"/>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3.1: Live Glassmorphism Blur Lockout Overlay (backdrop-blur-md) locking out unapproved applicant alex.applicant@acmeglobal.com (PendingCompany status), providing real-time status check buttons while completely preventing background interaction.</w:t>
      </w:r>
    </w:p>
    <w:p>
      <w:pPr>
        <w:pStyle w:val="Heading2"/>
        <w:keepNext/>
        <w:spacing w:before="200" w:after="80"/>
      </w:pPr>
      <w:r>
        <w:rPr>
          <w:rFonts w:ascii="Calibri" w:hAnsi="Calibri"/>
          <w:b/>
          <w:color w:val="0052CC"/>
          <w:sz w:val="24"/>
        </w:rPr>
        <w:t>4.4 Subsystem 4: Company &amp; Workforce Management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Test ID</w:t>
            </w:r>
          </w:p>
        </w:tc>
        <w:tc>
          <w:tcPr>
            <w:tcW w:type="dxa" w:w="1008"/>
            <w:shd w:fill="0F294A"/>
            <w:tcMar>
              <w:top w:w="120" w:type="dxa"/>
              <w:bottom w:w="120" w:type="dxa"/>
              <w:left w:w="140" w:type="dxa"/>
              <w:right w:w="140" w:type="dxa"/>
            </w:tcMar>
          </w:tcPr>
          <w:p>
            <w:pPr>
              <w:jc w:val="left"/>
            </w:pPr>
            <w:r>
              <w:rPr>
                <w:rFonts w:ascii="Calibri" w:hAnsi="Calibri"/>
                <w:b/>
                <w:color w:val="FFFFFF"/>
                <w:sz w:val="19"/>
              </w:rPr>
              <w:t>Level</w:t>
            </w:r>
          </w:p>
        </w:tc>
        <w:tc>
          <w:tcPr>
            <w:tcW w:type="dxa" w:w="1152"/>
            <w:shd w:fill="0F294A"/>
            <w:tcMar>
              <w:top w:w="120" w:type="dxa"/>
              <w:bottom w:w="120" w:type="dxa"/>
              <w:left w:w="140" w:type="dxa"/>
              <w:right w:w="140" w:type="dxa"/>
            </w:tcMar>
          </w:tcPr>
          <w:p>
            <w:pPr>
              <w:jc w:val="left"/>
            </w:pPr>
            <w:r>
              <w:rPr>
                <w:rFonts w:ascii="Calibri" w:hAnsi="Calibri"/>
                <w:b/>
                <w:color w:val="FFFFFF"/>
                <w:sz w:val="19"/>
              </w:rPr>
              <w:t>Type</w:t>
            </w:r>
          </w:p>
        </w:tc>
        <w:tc>
          <w:tcPr>
            <w:tcW w:type="dxa" w:w="1872"/>
            <w:shd w:fill="0F294A"/>
            <w:tcMar>
              <w:top w:w="120" w:type="dxa"/>
              <w:bottom w:w="120" w:type="dxa"/>
              <w:left w:w="140" w:type="dxa"/>
              <w:right w:w="140" w:type="dxa"/>
            </w:tcMar>
          </w:tcPr>
          <w:p>
            <w:pPr>
              <w:jc w:val="left"/>
            </w:pPr>
            <w:r>
              <w:rPr>
                <w:rFonts w:ascii="Calibri" w:hAnsi="Calibri"/>
                <w:b/>
                <w:color w:val="FFFFFF"/>
                <w:sz w:val="19"/>
              </w:rPr>
              <w:t>Description &amp; Preconditions</w:t>
            </w:r>
          </w:p>
        </w:tc>
        <w:tc>
          <w:tcPr>
            <w:tcW w:type="dxa" w:w="1728"/>
            <w:shd w:fill="0F294A"/>
            <w:tcMar>
              <w:top w:w="120" w:type="dxa"/>
              <w:bottom w:w="120" w:type="dxa"/>
              <w:left w:w="140" w:type="dxa"/>
              <w:right w:w="140" w:type="dxa"/>
            </w:tcMar>
          </w:tcPr>
          <w:p>
            <w:pPr>
              <w:jc w:val="left"/>
            </w:pPr>
            <w:r>
              <w:rPr>
                <w:rFonts w:ascii="Calibri" w:hAnsi="Calibri"/>
                <w:b/>
                <w:color w:val="FFFFFF"/>
                <w:sz w:val="19"/>
              </w:rPr>
              <w:t>Input Data / Test Steps</w:t>
            </w:r>
          </w:p>
        </w:tc>
        <w:tc>
          <w:tcPr>
            <w:tcW w:type="dxa" w:w="1584"/>
            <w:shd w:fill="0F294A"/>
            <w:tcMar>
              <w:top w:w="120" w:type="dxa"/>
              <w:bottom w:w="120" w:type="dxa"/>
              <w:left w:w="140" w:type="dxa"/>
              <w:right w:w="140" w:type="dxa"/>
            </w:tcMar>
          </w:tcPr>
          <w:p>
            <w:pPr>
              <w:jc w:val="left"/>
            </w:pPr>
            <w:r>
              <w:rPr>
                <w:rFonts w:ascii="Calibri" w:hAnsi="Calibri"/>
                <w:b/>
                <w:color w:val="FFFFFF"/>
                <w:sz w:val="19"/>
              </w:rPr>
              <w:t>Expected Result</w:t>
            </w:r>
          </w:p>
        </w:tc>
        <w:tc>
          <w:tcPr>
            <w:tcW w:type="dxa" w:w="1584"/>
            <w:shd w:fill="0F294A"/>
            <w:tcMar>
              <w:top w:w="120" w:type="dxa"/>
              <w:bottom w:w="120" w:type="dxa"/>
              <w:left w:w="140" w:type="dxa"/>
              <w:right w:w="140" w:type="dxa"/>
            </w:tcMar>
          </w:tcPr>
          <w:p>
            <w:pPr>
              <w:jc w:val="left"/>
            </w:pPr>
            <w:r>
              <w:rPr>
                <w:rFonts w:ascii="Calibri" w:hAnsi="Calibri"/>
                <w:b/>
                <w:color w:val="FFFFFF"/>
                <w:sz w:val="19"/>
              </w:rPr>
              <w:t>Actual Observed Result</w:t>
            </w:r>
          </w:p>
        </w:tc>
        <w:tc>
          <w:tcPr>
            <w:tcW w:type="dxa" w:w="720"/>
            <w:shd w:fill="0F294A"/>
            <w:tcMar>
              <w:top w:w="120" w:type="dxa"/>
              <w:bottom w:w="120" w:type="dxa"/>
              <w:left w:w="140" w:type="dxa"/>
              <w:right w:w="140" w:type="dxa"/>
            </w:tcMar>
          </w:tcPr>
          <w:p>
            <w:pPr>
              <w:jc w:val="left"/>
            </w:pPr>
            <w:r>
              <w:rPr>
                <w:rFonts w:ascii="Calibri" w:hAnsi="Calibri"/>
                <w:b/>
                <w:color w:val="FFFFFF"/>
                <w:sz w:val="19"/>
              </w:rPr>
              <w:t>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TC-WORK-001</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weekly timesheet calculator accurately computes gross billable earnings.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Input: Hourly Rate = $95.00/hr, Hours Logged = 40.0 hrs.</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Gross Earnings = $3,800.00.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Calculator returned exactly $3,800.00.</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TC-WORK-002</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timesheet calculator handles lower boundary of zero hours logged.</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Input: Hourly Rate = $85.00/hr, Hours Logged = 0.0 hrs.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Gross Earnings = $0.00.</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Calculator returned $0.00 cleanly without mathematical exceptions.</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TC-WORK-003</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timesheet calculator handles maximum weekly hour boundary (168.0 hrs).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Input: Hourly Rate = $100.00/hr, Hours Logged = 168.0 hrs.</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Gross Earnings = $16,800.00.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Calculator returned $16,800.00 correctly at upper week boundary.</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TC-WORK-004</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Invalid</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timesheet calculator rejects negative hours logged (-10.0 hrs).</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Input: Hourly Rate = $85.00/hr, Hours Logged = -10.0 hrs.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Throws ArgumentException('Hours logged cannot be negative.')</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ArgumentException thrown and handled as expected.</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TC-WORK-005</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Company Owner can view and manage their workforce roster.</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Company 2 owner requests GET /api/employees.</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returns list of active employees belonging strictly to Company 2.</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8 active Company 2 employees returned with department &amp; rate info.</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bl>
    <w:p>
      <w:pPr>
        <w:keepNext/>
        <w:spacing w:before="160" w:after="4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ure_table4_workforce.png"/>
                    <pic:cNvPicPr/>
                  </pic:nvPicPr>
                  <pic:blipFill>
                    <a:blip r:embed="rId14"/>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4.1: Live Workforce Directory &amp; Staff Administration Portal (http://localhost:5173/workforce) displaying employee designations, department affiliations, and hourly billing rates ($85–$115/hr).</w:t>
      </w:r>
    </w:p>
    <w:p>
      <w:pPr>
        <w:pStyle w:val="Heading2"/>
        <w:keepNext/>
        <w:spacing w:before="200" w:after="80"/>
      </w:pPr>
      <w:r>
        <w:rPr>
          <w:rFonts w:ascii="Calibri" w:hAnsi="Calibri"/>
          <w:b/>
          <w:color w:val="0052CC"/>
          <w:sz w:val="24"/>
        </w:rPr>
        <w:t>4.5 Subsystem 5: Project Management &amp; Agile Sprint Kanban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Test ID</w:t>
            </w:r>
          </w:p>
        </w:tc>
        <w:tc>
          <w:tcPr>
            <w:tcW w:type="dxa" w:w="1008"/>
            <w:shd w:fill="0F294A"/>
            <w:tcMar>
              <w:top w:w="120" w:type="dxa"/>
              <w:bottom w:w="120" w:type="dxa"/>
              <w:left w:w="140" w:type="dxa"/>
              <w:right w:w="140" w:type="dxa"/>
            </w:tcMar>
          </w:tcPr>
          <w:p>
            <w:pPr>
              <w:jc w:val="left"/>
            </w:pPr>
            <w:r>
              <w:rPr>
                <w:rFonts w:ascii="Calibri" w:hAnsi="Calibri"/>
                <w:b/>
                <w:color w:val="FFFFFF"/>
                <w:sz w:val="19"/>
              </w:rPr>
              <w:t>Level</w:t>
            </w:r>
          </w:p>
        </w:tc>
        <w:tc>
          <w:tcPr>
            <w:tcW w:type="dxa" w:w="1152"/>
            <w:shd w:fill="0F294A"/>
            <w:tcMar>
              <w:top w:w="120" w:type="dxa"/>
              <w:bottom w:w="120" w:type="dxa"/>
              <w:left w:w="140" w:type="dxa"/>
              <w:right w:w="140" w:type="dxa"/>
            </w:tcMar>
          </w:tcPr>
          <w:p>
            <w:pPr>
              <w:jc w:val="left"/>
            </w:pPr>
            <w:r>
              <w:rPr>
                <w:rFonts w:ascii="Calibri" w:hAnsi="Calibri"/>
                <w:b/>
                <w:color w:val="FFFFFF"/>
                <w:sz w:val="19"/>
              </w:rPr>
              <w:t>Type</w:t>
            </w:r>
          </w:p>
        </w:tc>
        <w:tc>
          <w:tcPr>
            <w:tcW w:type="dxa" w:w="1872"/>
            <w:shd w:fill="0F294A"/>
            <w:tcMar>
              <w:top w:w="120" w:type="dxa"/>
              <w:bottom w:w="120" w:type="dxa"/>
              <w:left w:w="140" w:type="dxa"/>
              <w:right w:w="140" w:type="dxa"/>
            </w:tcMar>
          </w:tcPr>
          <w:p>
            <w:pPr>
              <w:jc w:val="left"/>
            </w:pPr>
            <w:r>
              <w:rPr>
                <w:rFonts w:ascii="Calibri" w:hAnsi="Calibri"/>
                <w:b/>
                <w:color w:val="FFFFFF"/>
                <w:sz w:val="19"/>
              </w:rPr>
              <w:t>Description &amp; Preconditions</w:t>
            </w:r>
          </w:p>
        </w:tc>
        <w:tc>
          <w:tcPr>
            <w:tcW w:type="dxa" w:w="1728"/>
            <w:shd w:fill="0F294A"/>
            <w:tcMar>
              <w:top w:w="120" w:type="dxa"/>
              <w:bottom w:w="120" w:type="dxa"/>
              <w:left w:w="140" w:type="dxa"/>
              <w:right w:w="140" w:type="dxa"/>
            </w:tcMar>
          </w:tcPr>
          <w:p>
            <w:pPr>
              <w:jc w:val="left"/>
            </w:pPr>
            <w:r>
              <w:rPr>
                <w:rFonts w:ascii="Calibri" w:hAnsi="Calibri"/>
                <w:b/>
                <w:color w:val="FFFFFF"/>
                <w:sz w:val="19"/>
              </w:rPr>
              <w:t>Input Data / Test Steps</w:t>
            </w:r>
          </w:p>
        </w:tc>
        <w:tc>
          <w:tcPr>
            <w:tcW w:type="dxa" w:w="1584"/>
            <w:shd w:fill="0F294A"/>
            <w:tcMar>
              <w:top w:w="120" w:type="dxa"/>
              <w:bottom w:w="120" w:type="dxa"/>
              <w:left w:w="140" w:type="dxa"/>
              <w:right w:w="140" w:type="dxa"/>
            </w:tcMar>
          </w:tcPr>
          <w:p>
            <w:pPr>
              <w:jc w:val="left"/>
            </w:pPr>
            <w:r>
              <w:rPr>
                <w:rFonts w:ascii="Calibri" w:hAnsi="Calibri"/>
                <w:b/>
                <w:color w:val="FFFFFF"/>
                <w:sz w:val="19"/>
              </w:rPr>
              <w:t>Expected Result</w:t>
            </w:r>
          </w:p>
        </w:tc>
        <w:tc>
          <w:tcPr>
            <w:tcW w:type="dxa" w:w="1584"/>
            <w:shd w:fill="0F294A"/>
            <w:tcMar>
              <w:top w:w="120" w:type="dxa"/>
              <w:bottom w:w="120" w:type="dxa"/>
              <w:left w:w="140" w:type="dxa"/>
              <w:right w:w="140" w:type="dxa"/>
            </w:tcMar>
          </w:tcPr>
          <w:p>
            <w:pPr>
              <w:jc w:val="left"/>
            </w:pPr>
            <w:r>
              <w:rPr>
                <w:rFonts w:ascii="Calibri" w:hAnsi="Calibri"/>
                <w:b/>
                <w:color w:val="FFFFFF"/>
                <w:sz w:val="19"/>
              </w:rPr>
              <w:t>Actual Observed Result</w:t>
            </w:r>
          </w:p>
        </w:tc>
        <w:tc>
          <w:tcPr>
            <w:tcW w:type="dxa" w:w="720"/>
            <w:shd w:fill="0F294A"/>
            <w:tcMar>
              <w:top w:w="120" w:type="dxa"/>
              <w:bottom w:w="120" w:type="dxa"/>
              <w:left w:w="140" w:type="dxa"/>
              <w:right w:w="140" w:type="dxa"/>
            </w:tcMar>
          </w:tcPr>
          <w:p>
            <w:pPr>
              <w:jc w:val="left"/>
            </w:pPr>
            <w:r>
              <w:rPr>
                <w:rFonts w:ascii="Calibri" w:hAnsi="Calibri"/>
                <w:b/>
                <w:color w:val="FFFFFF"/>
                <w:sz w:val="19"/>
              </w:rPr>
              <w:t>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TC-PROJ-001</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creating new Project with scope, timeline, and total budget.</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POST /api/projects with Name = 'AI Analytics Suite', Budget = 120000.00.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Project created, linked to Company 2, default operating account created.</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200 OK; project record persisted in SQLite database.</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TC-PROJ-002</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Free Subscription Tier quota blocks creating more than 1 Project.</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Company 2 (Free Plan) already has 1 project; attempts to create 2nd project.</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400 Bad Request; message: 'Free tier limit reached (Max 1 active projects).'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400 Bad Request returned with upgrade recommendation.</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TC-PROJ-003</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Agile Kanban task status state machine allows forward and backward transitions.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Transition task from 'To Do' -&gt; 'In Progress' -&gt; 'In Review' -&gt; 'Done'.</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All valid status transitions return true.</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Transitions validated successfully across all columns.</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TC-PROJ-004</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task title accepts 200 characters but rejects 201 characters.</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Input 1: Title of length 200.</w:t>
              <w:br/>
              <w:t>Input 2: Title of length 201.</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Input 1 returns isValid = true. Input 2 returns false ('Exceeds 200 chars').</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Boundary verified; exactly 200 characters accepted, 201 rejected.</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TC-PROJ-005</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task creation enforces upper boundary on Story Points (Defect BUG-003).</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Call POST /api/tasks with StoryPoints = 99999, Priority = 'High'.</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System should enforce upper boundary (0 &lt;= StoryPoints &lt;= 100) and return 400.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Defect Discovered: Task created with 99,999 pts, distorting sprint burn-down.</w:t>
            </w:r>
          </w:p>
        </w:tc>
        <w:tc>
          <w:tcPr>
            <w:tcW w:type="dxa" w:w="720"/>
            <w:shd w:fill="FFFFFF"/>
            <w:tcMar>
              <w:top w:w="80" w:type="dxa"/>
              <w:bottom w:w="80" w:type="dxa"/>
              <w:left w:w="120" w:type="dxa"/>
              <w:right w:w="120" w:type="dxa"/>
            </w:tcMar>
          </w:tcPr>
          <w:p>
            <w:pPr>
              <w:spacing w:line="252" w:lineRule="auto"/>
            </w:pPr>
            <w:r>
              <w:rPr>
                <w:rFonts w:ascii="Calibri" w:hAnsi="Calibri"/>
                <w:b/>
                <w:color w:val="DE350B"/>
                <w:sz w:val="17"/>
              </w:rPr>
              <w:t>FAIL (BUG-003)</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TC-PROJ-006</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System</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1-click status transition buttons on Kanban board update task status.</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Click '→ In Progress' on task card on live Kanban board.</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Task status updates to 'In Progress' in DB; card moves to IN PROGRESS column.</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Card moved instantly; status updated in SQLite database without reload.</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bl>
    <w:p>
      <w:pPr>
        <w:keepNext/>
        <w:spacing w:before="16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igure_table5_projects_portfolio.png"/>
                    <pic:cNvPicPr/>
                  </pic:nvPicPr>
                  <pic:blipFill>
                    <a:blip r:embed="rId15"/>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5.1: Live Enterprise Project Portfolio Management Dashboard (http://localhost:5173/projects) displaying aggregate budget ($550,000 across 3 projects), delivery milestone metrics, and project action controls.</w:t>
      </w:r>
    </w:p>
    <w:p>
      <w:pPr>
        <w:keepNext/>
        <w:spacing w:before="160" w:after="4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figure_table5_kanban_board.png"/>
                    <pic:cNvPicPr/>
                  </pic:nvPicPr>
                  <pic:blipFill>
                    <a:blip r:embed="rId16"/>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5.2: Live Agile Sprint Kanban Board in Day Theme displaying 4 workflow columns (To Do, In Progress, In Review, Done), task priority pills, story point badges (16 pts in progress), and 1-click status transitions.</w:t>
      </w:r>
    </w:p>
    <w:p>
      <w:pPr>
        <w:pStyle w:val="Heading2"/>
        <w:keepNext/>
        <w:spacing w:before="200" w:after="80"/>
      </w:pPr>
      <w:r>
        <w:rPr>
          <w:rFonts w:ascii="Calibri" w:hAnsi="Calibri"/>
          <w:b/>
          <w:color w:val="0052CC"/>
          <w:sz w:val="24"/>
        </w:rPr>
        <w:t>4.6 Subsystem 6: Financial Management &amp; General Ledger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Test ID</w:t>
            </w:r>
          </w:p>
        </w:tc>
        <w:tc>
          <w:tcPr>
            <w:tcW w:type="dxa" w:w="1008"/>
            <w:shd w:fill="0F294A"/>
            <w:tcMar>
              <w:top w:w="120" w:type="dxa"/>
              <w:bottom w:w="120" w:type="dxa"/>
              <w:left w:w="140" w:type="dxa"/>
              <w:right w:w="140" w:type="dxa"/>
            </w:tcMar>
          </w:tcPr>
          <w:p>
            <w:pPr>
              <w:jc w:val="left"/>
            </w:pPr>
            <w:r>
              <w:rPr>
                <w:rFonts w:ascii="Calibri" w:hAnsi="Calibri"/>
                <w:b/>
                <w:color w:val="FFFFFF"/>
                <w:sz w:val="19"/>
              </w:rPr>
              <w:t>Level</w:t>
            </w:r>
          </w:p>
        </w:tc>
        <w:tc>
          <w:tcPr>
            <w:tcW w:type="dxa" w:w="1152"/>
            <w:shd w:fill="0F294A"/>
            <w:tcMar>
              <w:top w:w="120" w:type="dxa"/>
              <w:bottom w:w="120" w:type="dxa"/>
              <w:left w:w="140" w:type="dxa"/>
              <w:right w:w="140" w:type="dxa"/>
            </w:tcMar>
          </w:tcPr>
          <w:p>
            <w:pPr>
              <w:jc w:val="left"/>
            </w:pPr>
            <w:r>
              <w:rPr>
                <w:rFonts w:ascii="Calibri" w:hAnsi="Calibri"/>
                <w:b/>
                <w:color w:val="FFFFFF"/>
                <w:sz w:val="19"/>
              </w:rPr>
              <w:t>Type</w:t>
            </w:r>
          </w:p>
        </w:tc>
        <w:tc>
          <w:tcPr>
            <w:tcW w:type="dxa" w:w="1872"/>
            <w:shd w:fill="0F294A"/>
            <w:tcMar>
              <w:top w:w="120" w:type="dxa"/>
              <w:bottom w:w="120" w:type="dxa"/>
              <w:left w:w="140" w:type="dxa"/>
              <w:right w:w="140" w:type="dxa"/>
            </w:tcMar>
          </w:tcPr>
          <w:p>
            <w:pPr>
              <w:jc w:val="left"/>
            </w:pPr>
            <w:r>
              <w:rPr>
                <w:rFonts w:ascii="Calibri" w:hAnsi="Calibri"/>
                <w:b/>
                <w:color w:val="FFFFFF"/>
                <w:sz w:val="19"/>
              </w:rPr>
              <w:t>Description &amp; Preconditions</w:t>
            </w:r>
          </w:p>
        </w:tc>
        <w:tc>
          <w:tcPr>
            <w:tcW w:type="dxa" w:w="1728"/>
            <w:shd w:fill="0F294A"/>
            <w:tcMar>
              <w:top w:w="120" w:type="dxa"/>
              <w:bottom w:w="120" w:type="dxa"/>
              <w:left w:w="140" w:type="dxa"/>
              <w:right w:w="140" w:type="dxa"/>
            </w:tcMar>
          </w:tcPr>
          <w:p>
            <w:pPr>
              <w:jc w:val="left"/>
            </w:pPr>
            <w:r>
              <w:rPr>
                <w:rFonts w:ascii="Calibri" w:hAnsi="Calibri"/>
                <w:b/>
                <w:color w:val="FFFFFF"/>
                <w:sz w:val="19"/>
              </w:rPr>
              <w:t>Input Data / Test Steps</w:t>
            </w:r>
          </w:p>
        </w:tc>
        <w:tc>
          <w:tcPr>
            <w:tcW w:type="dxa" w:w="1584"/>
            <w:shd w:fill="0F294A"/>
            <w:tcMar>
              <w:top w:w="120" w:type="dxa"/>
              <w:bottom w:w="120" w:type="dxa"/>
              <w:left w:w="140" w:type="dxa"/>
              <w:right w:w="140" w:type="dxa"/>
            </w:tcMar>
          </w:tcPr>
          <w:p>
            <w:pPr>
              <w:jc w:val="left"/>
            </w:pPr>
            <w:r>
              <w:rPr>
                <w:rFonts w:ascii="Calibri" w:hAnsi="Calibri"/>
                <w:b/>
                <w:color w:val="FFFFFF"/>
                <w:sz w:val="19"/>
              </w:rPr>
              <w:t>Expected Result</w:t>
            </w:r>
          </w:p>
        </w:tc>
        <w:tc>
          <w:tcPr>
            <w:tcW w:type="dxa" w:w="1584"/>
            <w:shd w:fill="0F294A"/>
            <w:tcMar>
              <w:top w:w="120" w:type="dxa"/>
              <w:bottom w:w="120" w:type="dxa"/>
              <w:left w:w="140" w:type="dxa"/>
              <w:right w:w="140" w:type="dxa"/>
            </w:tcMar>
          </w:tcPr>
          <w:p>
            <w:pPr>
              <w:jc w:val="left"/>
            </w:pPr>
            <w:r>
              <w:rPr>
                <w:rFonts w:ascii="Calibri" w:hAnsi="Calibri"/>
                <w:b/>
                <w:color w:val="FFFFFF"/>
                <w:sz w:val="19"/>
              </w:rPr>
              <w:t>Actual Observed Result</w:t>
            </w:r>
          </w:p>
        </w:tc>
        <w:tc>
          <w:tcPr>
            <w:tcW w:type="dxa" w:w="720"/>
            <w:shd w:fill="0F294A"/>
            <w:tcMar>
              <w:top w:w="120" w:type="dxa"/>
              <w:bottom w:w="120" w:type="dxa"/>
              <w:left w:w="140" w:type="dxa"/>
              <w:right w:w="140" w:type="dxa"/>
            </w:tcMar>
          </w:tcPr>
          <w:p>
            <w:pPr>
              <w:jc w:val="left"/>
            </w:pPr>
            <w:r>
              <w:rPr>
                <w:rFonts w:ascii="Calibri" w:hAnsi="Calibri"/>
                <w:b/>
                <w:color w:val="FFFFFF"/>
                <w:sz w:val="19"/>
              </w:rPr>
              <w:t>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TC-FIN-001</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operating account liquidity percentage calculation returns correct margin.</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Current Balance = $112,500.00, Allocated Budget = $150,000.00.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Liquidity = 75.00%, LowLiquidityWarning = false.</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Returned 75.00% and LowLiquidityWarning = false.</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TC-FIN-002</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Boundary</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liquidity warning threshold: exactly 20.00% is safe; 19.99% triggers alert.</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Test 1: Balance = $20,000 / Budget = $100,000 (20%).</w:t>
              <w:br/>
              <w:t>Test 2: Balance = $19,990 (19.99%).</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Test 1: Warning = false.</w:t>
              <w:br/>
              <w:t>Test 2: Warning = true.</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Boundary verified; exactly 20.00% does not alert; 19.99% immediately triggers warning.</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TC-FIN-003</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Unit</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liquidity calculation handles $0.00 allocated budget without division by zero.</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Current Balance = $0.00, Allocated Budget = $0.00.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Returns Liquidity = 0.00%, LowLiquidityWarning = true (No DivideByZeroException).</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Handled cleanly; returned 0% with warning flag without system crash.</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TC-FIN-004</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Normal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inter-account fund reallocation atomically debits source and credits target.</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POST /api/finance/reallocate with Source = 1, Target = 2, Amount = $10,000.</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200 OK; Source debited by $10,000; Target credited by $10,000.</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HTTP 200 OK; balances updated atomically in SQLite database.</w:t>
            </w:r>
          </w:p>
        </w:tc>
        <w:tc>
          <w:tcPr>
            <w:tcW w:type="dxa" w:w="720"/>
            <w:shd w:fill="F8FAFC"/>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TC-FIN-005</w:t>
            </w:r>
          </w:p>
        </w:tc>
        <w:tc>
          <w:tcPr>
            <w:tcW w:type="dxa" w:w="1008"/>
            <w:shd w:fill="FFFFFF"/>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Verify fund reallocation rejects overdraw attempt exceeding liquidity.</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Source Balance = $42,000.00. Attempt to transfer Amount = $75,000.00.</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400 Bad Request; message: 'Insufficient liquidity in Cloud DevOps.'</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HTTP 400 Bad Request returned; source and target balances untouched.</w:t>
            </w:r>
          </w:p>
        </w:tc>
        <w:tc>
          <w:tcPr>
            <w:tcW w:type="dxa" w:w="720"/>
            <w:shd w:fill="FFFFFF"/>
            <w:tcMar>
              <w:top w:w="80" w:type="dxa"/>
              <w:bottom w:w="80" w:type="dxa"/>
              <w:left w:w="120" w:type="dxa"/>
              <w:right w:w="120" w:type="dxa"/>
            </w:tcMar>
          </w:tcPr>
          <w:p>
            <w:pPr>
              <w:spacing w:line="252" w:lineRule="auto"/>
            </w:pPr>
            <w:r>
              <w:rPr>
                <w:rFonts w:ascii="Calibri" w:hAnsi="Calibri"/>
                <w:b/>
                <w:color w:val="00875A"/>
                <w:sz w:val="17"/>
              </w:rPr>
              <w:t>PASS</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TC-FIN-006</w:t>
            </w:r>
          </w:p>
        </w:tc>
        <w:tc>
          <w:tcPr>
            <w:tcW w:type="dxa" w:w="1008"/>
            <w:shd w:fill="F8FAFC"/>
            <w:tcMar>
              <w:top w:w="80" w:type="dxa"/>
              <w:bottom w:w="80" w:type="dxa"/>
              <w:left w:w="120" w:type="dxa"/>
              <w:right w:w="120" w:type="dxa"/>
            </w:tcMar>
          </w:tcPr>
          <w:p>
            <w:pPr>
              <w:spacing w:line="252" w:lineRule="auto"/>
            </w:pPr>
            <w:r>
              <w:rPr>
                <w:rFonts w:ascii="Calibri" w:hAnsi="Calibri"/>
                <w:color w:val="172B4D"/>
                <w:sz w:val="17"/>
              </w:rPr>
              <w:t>Integration</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Exceptional</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Verify fund reallocation behavior when SourceAccountId == TargetAccountId.</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POST /api/finance/reallocate with SourceAccountId = 1, TargetAccountId = 1.</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System should reject self-transfer with HTTP 400 ('Accounts cannot be identical').</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Defect Discovered: System allowed transfer to self; created redundant log.</w:t>
            </w:r>
          </w:p>
        </w:tc>
        <w:tc>
          <w:tcPr>
            <w:tcW w:type="dxa" w:w="720"/>
            <w:shd w:fill="F8FAFC"/>
            <w:tcMar>
              <w:top w:w="80" w:type="dxa"/>
              <w:bottom w:w="80" w:type="dxa"/>
              <w:left w:w="120" w:type="dxa"/>
              <w:right w:w="120" w:type="dxa"/>
            </w:tcMar>
          </w:tcPr>
          <w:p>
            <w:pPr>
              <w:spacing w:line="252" w:lineRule="auto"/>
            </w:pPr>
            <w:r>
              <w:rPr>
                <w:rFonts w:ascii="Calibri" w:hAnsi="Calibri"/>
                <w:b/>
                <w:color w:val="DE350B"/>
                <w:sz w:val="17"/>
              </w:rPr>
              <w:t>FAIL (BUG-002)</w:t>
            </w:r>
          </w:p>
        </w:tc>
      </w:tr>
    </w:tbl>
    <w:p>
      <w:pPr>
        <w:keepNext/>
        <w:spacing w:before="160" w:after="4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figure_table6_finance.png"/>
                    <pic:cNvPicPr/>
                  </pic:nvPicPr>
                  <pic:blipFill>
                    <a:blip r:embed="rId17"/>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6.1: Live Corporate Finance &amp; General Ledger Hub (http://localhost:5173/finance) under CFO Controller Scope, featuring real-time operating account liquidity bars and pending expense claim queues.</w:t>
      </w:r>
    </w:p>
    <w:p>
      <w:pPr>
        <w:keepNext/>
        <w:spacing w:before="16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figure_table6_reallocate_modal.png"/>
                    <pic:cNvPicPr/>
                  </pic:nvPicPr>
                  <pic:blipFill>
                    <a:blip r:embed="rId18"/>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5E6C84"/>
          <w:sz w:val="18"/>
        </w:rPr>
        <w:t>Figure 6.2: Live Inter-Account Fund Reallocation Modal on Finance Page allowing atomic double-entry balance transfers between project operating accounts with liquidity validation.</w:t>
      </w:r>
    </w:p>
    <w:p>
      <w:pPr>
        <w:pStyle w:val="Heading1"/>
        <w:keepNext/>
        <w:spacing w:before="280" w:after="100"/>
      </w:pPr>
      <w:r>
        <w:rPr>
          <w:rFonts w:ascii="Calibri" w:hAnsi="Calibri"/>
          <w:b/>
          <w:color w:val="0F294A"/>
          <w:sz w:val="29"/>
        </w:rPr>
        <w:t>5. Defect Tracking &amp; Bug Analysis (IEEE 829 Standard)</w:t>
      </w:r>
    </w:p>
    <w:p>
      <w:pPr>
        <w:spacing w:line="276" w:lineRule="auto" w:after="80"/>
      </w:pPr>
      <w:r>
        <w:rPr>
          <w:rFonts w:ascii="Calibri" w:hAnsi="Calibri"/>
          <w:i w:val="0"/>
          <w:color w:val="172B4D"/>
          <w:sz w:val="20"/>
        </w:rPr>
        <w:t>During the systematic execution of the testing suites, software defects and unexpected behaviors were identified. In accordance with the IEEE 829 Standard for Software Test Documentation, each defect is formally documented below with its severity, reproduction steps, observed vs expected behavior, root cause analysis, and remediation status. In accordance with requirements, the Brand Logo Route Misdirection bug is cataloged as the primary defect (BUG-001):</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1152"/>
            <w:shd w:fill="0F294A"/>
            <w:tcMar>
              <w:top w:w="120" w:type="dxa"/>
              <w:bottom w:w="120" w:type="dxa"/>
              <w:left w:w="140" w:type="dxa"/>
              <w:right w:w="140" w:type="dxa"/>
            </w:tcMar>
          </w:tcPr>
          <w:p>
            <w:pPr>
              <w:jc w:val="left"/>
            </w:pPr>
            <w:r>
              <w:rPr>
                <w:rFonts w:ascii="Calibri" w:hAnsi="Calibri"/>
                <w:b/>
                <w:color w:val="FFFFFF"/>
                <w:sz w:val="19"/>
              </w:rPr>
              <w:t>Defect ID</w:t>
            </w:r>
          </w:p>
        </w:tc>
        <w:tc>
          <w:tcPr>
            <w:tcW w:type="dxa" w:w="1152"/>
            <w:shd w:fill="0F294A"/>
            <w:tcMar>
              <w:top w:w="120" w:type="dxa"/>
              <w:bottom w:w="120" w:type="dxa"/>
              <w:left w:w="140" w:type="dxa"/>
              <w:right w:w="140" w:type="dxa"/>
            </w:tcMar>
          </w:tcPr>
          <w:p>
            <w:pPr>
              <w:jc w:val="left"/>
            </w:pPr>
            <w:r>
              <w:rPr>
                <w:rFonts w:ascii="Calibri" w:hAnsi="Calibri"/>
                <w:b/>
                <w:color w:val="FFFFFF"/>
                <w:sz w:val="19"/>
              </w:rPr>
              <w:t>Severity</w:t>
            </w:r>
          </w:p>
        </w:tc>
        <w:tc>
          <w:tcPr>
            <w:tcW w:type="dxa" w:w="1728"/>
            <w:shd w:fill="0F294A"/>
            <w:tcMar>
              <w:top w:w="120" w:type="dxa"/>
              <w:bottom w:w="120" w:type="dxa"/>
              <w:left w:w="140" w:type="dxa"/>
              <w:right w:w="140" w:type="dxa"/>
            </w:tcMar>
          </w:tcPr>
          <w:p>
            <w:pPr>
              <w:jc w:val="left"/>
            </w:pPr>
            <w:r>
              <w:rPr>
                <w:rFonts w:ascii="Calibri" w:hAnsi="Calibri"/>
                <w:b/>
                <w:color w:val="FFFFFF"/>
                <w:sz w:val="19"/>
              </w:rPr>
              <w:t>Component</w:t>
            </w:r>
          </w:p>
        </w:tc>
        <w:tc>
          <w:tcPr>
            <w:tcW w:type="dxa" w:w="2592"/>
            <w:shd w:fill="0F294A"/>
            <w:tcMar>
              <w:top w:w="120" w:type="dxa"/>
              <w:bottom w:w="120" w:type="dxa"/>
              <w:left w:w="140" w:type="dxa"/>
              <w:right w:w="140" w:type="dxa"/>
            </w:tcMar>
          </w:tcPr>
          <w:p>
            <w:pPr>
              <w:jc w:val="left"/>
            </w:pPr>
            <w:r>
              <w:rPr>
                <w:rFonts w:ascii="Calibri" w:hAnsi="Calibri"/>
                <w:b/>
                <w:color w:val="FFFFFF"/>
                <w:sz w:val="19"/>
              </w:rPr>
              <w:t>Defect Title &amp; Summary</w:t>
            </w:r>
          </w:p>
        </w:tc>
        <w:tc>
          <w:tcPr>
            <w:tcW w:type="dxa" w:w="2160"/>
            <w:shd w:fill="0F294A"/>
            <w:tcMar>
              <w:top w:w="120" w:type="dxa"/>
              <w:bottom w:w="120" w:type="dxa"/>
              <w:left w:w="140" w:type="dxa"/>
              <w:right w:w="140" w:type="dxa"/>
            </w:tcMar>
          </w:tcPr>
          <w:p>
            <w:pPr>
              <w:jc w:val="left"/>
            </w:pPr>
            <w:r>
              <w:rPr>
                <w:rFonts w:ascii="Calibri" w:hAnsi="Calibri"/>
                <w:b/>
                <w:color w:val="FFFFFF"/>
                <w:sz w:val="19"/>
              </w:rPr>
              <w:t>Root Cause Analysis</w:t>
            </w:r>
          </w:p>
        </w:tc>
        <w:tc>
          <w:tcPr>
            <w:tcW w:type="dxa" w:w="1296"/>
            <w:shd w:fill="0F294A"/>
            <w:tcMar>
              <w:top w:w="120" w:type="dxa"/>
              <w:bottom w:w="120" w:type="dxa"/>
              <w:left w:w="140" w:type="dxa"/>
              <w:right w:w="140" w:type="dxa"/>
            </w:tcMar>
          </w:tcPr>
          <w:p>
            <w:pPr>
              <w:jc w:val="left"/>
            </w:pPr>
            <w:r>
              <w:rPr>
                <w:rFonts w:ascii="Calibri" w:hAnsi="Calibri"/>
                <w:b/>
                <w:color w:val="FFFFFF"/>
                <w:sz w:val="19"/>
              </w:rPr>
              <w:t>Remediation Status</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BUG-001</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Medium</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Frontend / AppShell.jsx</w:t>
            </w:r>
          </w:p>
        </w:tc>
        <w:tc>
          <w:tcPr>
            <w:tcW w:type="dxa" w:w="2592"/>
            <w:shd w:fill="FFFFFF"/>
            <w:tcMar>
              <w:top w:w="80" w:type="dxa"/>
              <w:bottom w:w="80" w:type="dxa"/>
              <w:left w:w="120" w:type="dxa"/>
              <w:right w:w="120" w:type="dxa"/>
            </w:tcMar>
          </w:tcPr>
          <w:p>
            <w:pPr>
              <w:spacing w:line="252" w:lineRule="auto"/>
            </w:pPr>
            <w:r>
              <w:rPr>
                <w:rFonts w:ascii="Calibri" w:hAnsi="Calibri"/>
                <w:color w:val="172B4D"/>
                <w:sz w:val="17"/>
              </w:rPr>
              <w:t>Brand Logo Misdirection (Clicking Logo Forwards to HomePage instead of Dashboard)</w:t>
            </w:r>
          </w:p>
        </w:tc>
        <w:tc>
          <w:tcPr>
            <w:tcW w:type="dxa" w:w="2160"/>
            <w:shd w:fill="FFFFFF"/>
            <w:tcMar>
              <w:top w:w="80" w:type="dxa"/>
              <w:bottom w:w="80" w:type="dxa"/>
              <w:left w:w="120" w:type="dxa"/>
              <w:right w:w="120" w:type="dxa"/>
            </w:tcMar>
          </w:tcPr>
          <w:p>
            <w:pPr>
              <w:spacing w:line="252" w:lineRule="auto"/>
            </w:pPr>
            <w:r>
              <w:rPr>
                <w:rFonts w:ascii="Calibri" w:hAnsi="Calibri"/>
                <w:color w:val="172B4D"/>
                <w:sz w:val="17"/>
              </w:rPr>
              <w:t>AppShell.jsx hardcoded &lt;NavLink to='/'&gt; instead of conditional /dashboard routing.</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Patched &amp; Verified Live</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BUG-002</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High</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Finance / API</w:t>
            </w:r>
          </w:p>
        </w:tc>
        <w:tc>
          <w:tcPr>
            <w:tcW w:type="dxa" w:w="2592"/>
            <w:shd w:fill="F8FAFC"/>
            <w:tcMar>
              <w:top w:w="80" w:type="dxa"/>
              <w:bottom w:w="80" w:type="dxa"/>
              <w:left w:w="120" w:type="dxa"/>
              <w:right w:w="120" w:type="dxa"/>
            </w:tcMar>
          </w:tcPr>
          <w:p>
            <w:pPr>
              <w:spacing w:line="252" w:lineRule="auto"/>
            </w:pPr>
            <w:r>
              <w:rPr>
                <w:rFonts w:ascii="Calibri" w:hAnsi="Calibri"/>
                <w:color w:val="172B4D"/>
                <w:sz w:val="17"/>
              </w:rPr>
              <w:t>Inter-Account Self-Reallocation Anomaly (Source == Target)</w:t>
            </w:r>
          </w:p>
        </w:tc>
        <w:tc>
          <w:tcPr>
            <w:tcW w:type="dxa" w:w="2160"/>
            <w:shd w:fill="F8FAFC"/>
            <w:tcMar>
              <w:top w:w="80" w:type="dxa"/>
              <w:bottom w:w="80" w:type="dxa"/>
              <w:left w:w="120" w:type="dxa"/>
              <w:right w:w="120" w:type="dxa"/>
            </w:tcMar>
          </w:tcPr>
          <w:p>
            <w:pPr>
              <w:spacing w:line="252" w:lineRule="auto"/>
            </w:pPr>
            <w:r>
              <w:rPr>
                <w:rFonts w:ascii="Calibri" w:hAnsi="Calibri"/>
                <w:color w:val="172B4D"/>
                <w:sz w:val="17"/>
              </w:rPr>
              <w:t>Missing validation check verifying SourceAccountId != TargetAccountId in POST /api/finance/reallocate.</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Patched &amp; Verified Live</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BUG-003</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Medium</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Projects / API</w:t>
            </w:r>
          </w:p>
        </w:tc>
        <w:tc>
          <w:tcPr>
            <w:tcW w:type="dxa" w:w="2592"/>
            <w:shd w:fill="FFFFFF"/>
            <w:tcMar>
              <w:top w:w="80" w:type="dxa"/>
              <w:bottom w:w="80" w:type="dxa"/>
              <w:left w:w="120" w:type="dxa"/>
              <w:right w:w="120" w:type="dxa"/>
            </w:tcMar>
          </w:tcPr>
          <w:p>
            <w:pPr>
              <w:spacing w:line="252" w:lineRule="auto"/>
            </w:pPr>
            <w:r>
              <w:rPr>
                <w:rFonts w:ascii="Calibri" w:hAnsi="Calibri"/>
                <w:color w:val="172B4D"/>
                <w:sz w:val="17"/>
              </w:rPr>
              <w:t>Unbounded Story Points Upper Limit during Task Creation</w:t>
            </w:r>
          </w:p>
        </w:tc>
        <w:tc>
          <w:tcPr>
            <w:tcW w:type="dxa" w:w="2160"/>
            <w:shd w:fill="FFFFFF"/>
            <w:tcMar>
              <w:top w:w="80" w:type="dxa"/>
              <w:bottom w:w="80" w:type="dxa"/>
              <w:left w:w="120" w:type="dxa"/>
              <w:right w:w="120" w:type="dxa"/>
            </w:tcMar>
          </w:tcPr>
          <w:p>
            <w:pPr>
              <w:spacing w:line="252" w:lineRule="auto"/>
            </w:pPr>
            <w:r>
              <w:rPr>
                <w:rFonts w:ascii="Calibri" w:hAnsi="Calibri"/>
                <w:color w:val="172B4D"/>
                <w:sz w:val="17"/>
              </w:rPr>
              <w:t>TaskCreateDto allowed arbitrary large integer values for StoryPoints (e.g., 99,999 points).</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Patched &amp; Verified Live</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BUG-004</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Medium</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Database / SQLite</w:t>
            </w:r>
          </w:p>
        </w:tc>
        <w:tc>
          <w:tcPr>
            <w:tcW w:type="dxa" w:w="2592"/>
            <w:shd w:fill="F8FAFC"/>
            <w:tcMar>
              <w:top w:w="80" w:type="dxa"/>
              <w:bottom w:w="80" w:type="dxa"/>
              <w:left w:w="120" w:type="dxa"/>
              <w:right w:w="120" w:type="dxa"/>
            </w:tcMar>
          </w:tcPr>
          <w:p>
            <w:pPr>
              <w:spacing w:line="252" w:lineRule="auto"/>
            </w:pPr>
            <w:r>
              <w:rPr>
                <w:rFonts w:ascii="Calibri" w:hAnsi="Calibri"/>
                <w:color w:val="172B4D"/>
                <w:sz w:val="17"/>
              </w:rPr>
              <w:t>Missing ProjectManagerId Column in Existing SQLite Schema</w:t>
            </w:r>
          </w:p>
        </w:tc>
        <w:tc>
          <w:tcPr>
            <w:tcW w:type="dxa" w:w="2160"/>
            <w:shd w:fill="F8FAFC"/>
            <w:tcMar>
              <w:top w:w="80" w:type="dxa"/>
              <w:bottom w:w="80" w:type="dxa"/>
              <w:left w:w="120" w:type="dxa"/>
              <w:right w:w="120" w:type="dxa"/>
            </w:tcMar>
          </w:tcPr>
          <w:p>
            <w:pPr>
              <w:spacing w:line="252" w:lineRule="auto"/>
            </w:pPr>
            <w:r>
              <w:rPr>
                <w:rFonts w:ascii="Calibri" w:hAnsi="Calibri"/>
                <w:color w:val="172B4D"/>
                <w:sz w:val="17"/>
              </w:rPr>
              <w:t>SQLite EnsureCreated() did not alter existing tables to add ProjectManagerId, causing startup crashes.</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Resolved via Safe Migration</w:t>
            </w:r>
          </w:p>
        </w:tc>
      </w:tr>
      <w:tr>
        <w:trPr>
          <w:cantSplit/>
        </w:trPr>
        <w:tc>
          <w:tcPr>
            <w:tcW w:type="dxa" w:w="1152"/>
            <w:shd w:fill="FFFFFF"/>
            <w:tcMar>
              <w:top w:w="80" w:type="dxa"/>
              <w:bottom w:w="80" w:type="dxa"/>
              <w:left w:w="120" w:type="dxa"/>
              <w:right w:w="120" w:type="dxa"/>
            </w:tcMar>
          </w:tcPr>
          <w:p>
            <w:pPr>
              <w:spacing w:line="252" w:lineRule="auto"/>
            </w:pPr>
            <w:r>
              <w:rPr>
                <w:rFonts w:ascii="Calibri" w:hAnsi="Calibri"/>
                <w:b/>
                <w:color w:val="172B4D"/>
                <w:sz w:val="17"/>
              </w:rPr>
              <w:t>BUG-005</w:t>
            </w:r>
          </w:p>
        </w:tc>
        <w:tc>
          <w:tcPr>
            <w:tcW w:type="dxa" w:w="1152"/>
            <w:shd w:fill="FFFFFF"/>
            <w:tcMar>
              <w:top w:w="80" w:type="dxa"/>
              <w:bottom w:w="80" w:type="dxa"/>
              <w:left w:w="120" w:type="dxa"/>
              <w:right w:w="120" w:type="dxa"/>
            </w:tcMar>
          </w:tcPr>
          <w:p>
            <w:pPr>
              <w:spacing w:line="252" w:lineRule="auto"/>
            </w:pPr>
            <w:r>
              <w:rPr>
                <w:rFonts w:ascii="Calibri" w:hAnsi="Calibri"/>
                <w:color w:val="172B4D"/>
                <w:sz w:val="17"/>
              </w:rPr>
              <w:t>Low</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Identity / Auth</w:t>
            </w:r>
          </w:p>
        </w:tc>
        <w:tc>
          <w:tcPr>
            <w:tcW w:type="dxa" w:w="2592"/>
            <w:shd w:fill="FFFFFF"/>
            <w:tcMar>
              <w:top w:w="80" w:type="dxa"/>
              <w:bottom w:w="80" w:type="dxa"/>
              <w:left w:w="120" w:type="dxa"/>
              <w:right w:w="120" w:type="dxa"/>
            </w:tcMar>
          </w:tcPr>
          <w:p>
            <w:pPr>
              <w:spacing w:line="252" w:lineRule="auto"/>
            </w:pPr>
            <w:r>
              <w:rPr>
                <w:rFonts w:ascii="Calibri" w:hAnsi="Calibri"/>
                <w:color w:val="172B4D"/>
                <w:sz w:val="17"/>
              </w:rPr>
              <w:t>Nullable CompanyId Dereference Compiler Warning (CS8629)</w:t>
            </w:r>
          </w:p>
        </w:tc>
        <w:tc>
          <w:tcPr>
            <w:tcW w:type="dxa" w:w="2160"/>
            <w:shd w:fill="FFFFFF"/>
            <w:tcMar>
              <w:top w:w="80" w:type="dxa"/>
              <w:bottom w:w="80" w:type="dxa"/>
              <w:left w:w="120" w:type="dxa"/>
              <w:right w:w="120" w:type="dxa"/>
            </w:tcMar>
          </w:tcPr>
          <w:p>
            <w:pPr>
              <w:spacing w:line="252" w:lineRule="auto"/>
            </w:pPr>
            <w:r>
              <w:rPr>
                <w:rFonts w:ascii="Calibri" w:hAnsi="Calibri"/>
                <w:color w:val="172B4D"/>
                <w:sz w:val="17"/>
              </w:rPr>
              <w:t>Ternary expression dereferenced dto.CompanyId.Value without explicit HasValue guarantee.</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Patched with Null-Coalesce</w:t>
            </w:r>
          </w:p>
        </w:tc>
      </w:tr>
      <w:tr>
        <w:trPr>
          <w:cantSplit/>
        </w:trPr>
        <w:tc>
          <w:tcPr>
            <w:tcW w:type="dxa" w:w="1152"/>
            <w:shd w:fill="F8FAFC"/>
            <w:tcMar>
              <w:top w:w="80" w:type="dxa"/>
              <w:bottom w:w="80" w:type="dxa"/>
              <w:left w:w="120" w:type="dxa"/>
              <w:right w:w="120" w:type="dxa"/>
            </w:tcMar>
          </w:tcPr>
          <w:p>
            <w:pPr>
              <w:spacing w:line="252" w:lineRule="auto"/>
            </w:pPr>
            <w:r>
              <w:rPr>
                <w:rFonts w:ascii="Calibri" w:hAnsi="Calibri"/>
                <w:b/>
                <w:color w:val="172B4D"/>
                <w:sz w:val="17"/>
              </w:rPr>
              <w:t>BUG-006</w:t>
            </w:r>
          </w:p>
        </w:tc>
        <w:tc>
          <w:tcPr>
            <w:tcW w:type="dxa" w:w="1152"/>
            <w:shd w:fill="F8FAFC"/>
            <w:tcMar>
              <w:top w:w="80" w:type="dxa"/>
              <w:bottom w:w="80" w:type="dxa"/>
              <w:left w:w="120" w:type="dxa"/>
              <w:right w:w="120" w:type="dxa"/>
            </w:tcMar>
          </w:tcPr>
          <w:p>
            <w:pPr>
              <w:spacing w:line="252" w:lineRule="auto"/>
            </w:pPr>
            <w:r>
              <w:rPr>
                <w:rFonts w:ascii="Calibri" w:hAnsi="Calibri"/>
                <w:color w:val="172B4D"/>
                <w:sz w:val="17"/>
              </w:rPr>
              <w:t>Low</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Finance / UI</w:t>
            </w:r>
          </w:p>
        </w:tc>
        <w:tc>
          <w:tcPr>
            <w:tcW w:type="dxa" w:w="2592"/>
            <w:shd w:fill="F8FAFC"/>
            <w:tcMar>
              <w:top w:w="80" w:type="dxa"/>
              <w:bottom w:w="80" w:type="dxa"/>
              <w:left w:w="120" w:type="dxa"/>
              <w:right w:w="120" w:type="dxa"/>
            </w:tcMar>
          </w:tcPr>
          <w:p>
            <w:pPr>
              <w:spacing w:line="252" w:lineRule="auto"/>
            </w:pPr>
            <w:r>
              <w:rPr>
                <w:rFonts w:ascii="Calibri" w:hAnsi="Calibri"/>
                <w:color w:val="172B4D"/>
                <w:sz w:val="17"/>
              </w:rPr>
              <w:t>Budget Overrun Alert Latency on Exact Zero Liquidity Boundary</w:t>
            </w:r>
          </w:p>
        </w:tc>
        <w:tc>
          <w:tcPr>
            <w:tcW w:type="dxa" w:w="2160"/>
            <w:shd w:fill="F8FAFC"/>
            <w:tcMar>
              <w:top w:w="80" w:type="dxa"/>
              <w:bottom w:w="80" w:type="dxa"/>
              <w:left w:w="120" w:type="dxa"/>
              <w:right w:w="120" w:type="dxa"/>
            </w:tcMar>
          </w:tcPr>
          <w:p>
            <w:pPr>
              <w:spacing w:line="252" w:lineRule="auto"/>
            </w:pPr>
            <w:r>
              <w:rPr>
                <w:rFonts w:ascii="Calibri" w:hAnsi="Calibri"/>
                <w:color w:val="172B4D"/>
                <w:sz w:val="17"/>
              </w:rPr>
              <w:t>Client-side alert state triggers on balance &lt; 20%, but delay in refresh leaves banner inactive for 1 cycle.</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Patched in State Hook</w:t>
            </w:r>
          </w:p>
        </w:tc>
      </w:tr>
    </w:tbl>
    <w:p>
      <w:pPr>
        <w:pStyle w:val="Heading2"/>
        <w:keepNext/>
        <w:spacing w:before="200" w:after="80"/>
      </w:pPr>
      <w:r>
        <w:rPr>
          <w:rFonts w:ascii="Calibri" w:hAnsi="Calibri"/>
          <w:b/>
          <w:color w:val="0052CC"/>
          <w:sz w:val="24"/>
        </w:rPr>
        <w:t>5.1 Deep Defect Investigation: BUG-001 (Brand Logo Route Misdirection)</w:t>
      </w:r>
    </w:p>
    <w:p>
      <w:pPr>
        <w:spacing w:line="276" w:lineRule="auto" w:after="80"/>
      </w:pPr>
      <w:r>
        <w:rPr>
          <w:rFonts w:ascii="Calibri" w:hAnsi="Calibri"/>
          <w:b/>
          <w:color w:val="172B4D"/>
          <w:sz w:val="20"/>
        </w:rPr>
        <w:t xml:space="preserve">• </w:t>
      </w:r>
      <w:r>
        <w:rPr>
          <w:rFonts w:ascii="Calibri" w:hAnsi="Calibri"/>
          <w:i w:val="0"/>
          <w:color w:val="172B4D"/>
          <w:sz w:val="20"/>
        </w:rPr>
        <w:t>Defect ID: BUG-001 | Severity: Medium | Priority: P1 | Subsystem: Navigation &amp; App Shell</w:t>
      </w:r>
    </w:p>
    <w:p>
      <w:pPr>
        <w:spacing w:line="276" w:lineRule="auto" w:after="80"/>
      </w:pPr>
      <w:r>
        <w:rPr>
          <w:rFonts w:ascii="Calibri" w:hAnsi="Calibri"/>
          <w:b/>
          <w:color w:val="172B4D"/>
          <w:sz w:val="20"/>
        </w:rPr>
        <w:t xml:space="preserve">• </w:t>
      </w:r>
      <w:r>
        <w:rPr>
          <w:rFonts w:ascii="Calibri" w:hAnsi="Calibri"/>
          <w:i w:val="0"/>
          <w:color w:val="172B4D"/>
          <w:sz w:val="20"/>
        </w:rPr>
        <w:t>Title: Brand Logo Misdirection to Public Landing Page during Authenticated Sessions</w:t>
      </w:r>
    </w:p>
    <w:p>
      <w:pPr>
        <w:spacing w:line="276" w:lineRule="auto" w:after="80"/>
      </w:pPr>
      <w:r>
        <w:rPr>
          <w:rFonts w:ascii="Calibri" w:hAnsi="Calibri"/>
          <w:b/>
          <w:color w:val="172B4D"/>
          <w:sz w:val="20"/>
        </w:rPr>
        <w:t xml:space="preserve">• </w:t>
      </w:r>
      <w:r>
        <w:rPr>
          <w:rFonts w:ascii="Calibri" w:hAnsi="Calibri"/>
          <w:i w:val="0"/>
          <w:color w:val="172B4D"/>
          <w:sz w:val="20"/>
        </w:rPr>
        <w:t>Steps to Reproduce: (1) Authenticate as Company Owner, Employee, or SuperAdmin. (2) From any workspace view (/projects, /finance, /workforce), click the GrindSet logo located in the top-left sidebar header.</w:t>
      </w:r>
    </w:p>
    <w:p>
      <w:pPr>
        <w:spacing w:line="276" w:lineRule="auto" w:after="80"/>
      </w:pPr>
      <w:r>
        <w:rPr>
          <w:rFonts w:ascii="Calibri" w:hAnsi="Calibri"/>
          <w:b/>
          <w:color w:val="172B4D"/>
          <w:sz w:val="20"/>
        </w:rPr>
        <w:t xml:space="preserve">• </w:t>
      </w:r>
      <w:r>
        <w:rPr>
          <w:rFonts w:ascii="Calibri" w:hAnsi="Calibri"/>
          <w:i w:val="0"/>
          <w:color w:val="172B4D"/>
          <w:sz w:val="20"/>
        </w:rPr>
        <w:t>Observed Behavior: The client router immediately navigates to '/' (the unauthenticated marketing Landing Page), jarring the user out of their active workspace context.</w:t>
      </w:r>
    </w:p>
    <w:p>
      <w:pPr>
        <w:spacing w:line="276" w:lineRule="auto" w:after="80"/>
      </w:pPr>
      <w:r>
        <w:rPr>
          <w:rFonts w:ascii="Calibri" w:hAnsi="Calibri"/>
          <w:b/>
          <w:color w:val="172B4D"/>
          <w:sz w:val="20"/>
        </w:rPr>
        <w:t xml:space="preserve">• </w:t>
      </w:r>
      <w:r>
        <w:rPr>
          <w:rFonts w:ascii="Calibri" w:hAnsi="Calibri"/>
          <w:i w:val="0"/>
          <w:color w:val="172B4D"/>
          <w:sz w:val="20"/>
        </w:rPr>
        <w:t>Expected Behavior: Clicking the brand logo within an authenticated session must navigate to '/dashboard' (or role-specific dashboard), allowing frictionless return to the core workspace overview.</w:t>
      </w:r>
    </w:p>
    <w:p>
      <w:pPr>
        <w:spacing w:line="276" w:lineRule="auto" w:after="80"/>
      </w:pPr>
      <w:r>
        <w:rPr>
          <w:rFonts w:ascii="Calibri" w:hAnsi="Calibri"/>
          <w:b/>
          <w:color w:val="172B4D"/>
          <w:sz w:val="20"/>
        </w:rPr>
        <w:t xml:space="preserve">• </w:t>
      </w:r>
      <w:r>
        <w:rPr>
          <w:rFonts w:ascii="Calibri" w:hAnsi="Calibri"/>
          <w:i w:val="0"/>
          <w:color w:val="172B4D"/>
          <w:sz w:val="20"/>
        </w:rPr>
        <w:t>Root Cause Analysis: In frontend/src/components/AppShell.jsx (line 212), the brand logo was hardcoded with &lt;NavLink to='/' ...&gt; rather than evaluating the user's active authentication status.</w:t>
      </w:r>
    </w:p>
    <w:p>
      <w:pPr>
        <w:pStyle w:val="Heading2"/>
        <w:keepNext/>
        <w:spacing w:before="200" w:after="80"/>
      </w:pPr>
      <w:r>
        <w:rPr>
          <w:rFonts w:ascii="Calibri" w:hAnsi="Calibri"/>
          <w:b/>
          <w:color w:val="0052CC"/>
          <w:sz w:val="24"/>
        </w:rPr>
        <w:t>5.2 Deep Defect Investigation: BUG-002 (Self-Reallocation Anomaly)</w:t>
      </w:r>
    </w:p>
    <w:p>
      <w:pPr>
        <w:spacing w:line="276" w:lineRule="auto" w:after="80"/>
      </w:pPr>
      <w:r>
        <w:rPr>
          <w:rFonts w:ascii="Calibri" w:hAnsi="Calibri"/>
          <w:b/>
          <w:color w:val="172B4D"/>
          <w:sz w:val="20"/>
        </w:rPr>
        <w:t xml:space="preserve">• </w:t>
      </w:r>
      <w:r>
        <w:rPr>
          <w:rFonts w:ascii="Calibri" w:hAnsi="Calibri"/>
          <w:i w:val="0"/>
          <w:color w:val="172B4D"/>
          <w:sz w:val="20"/>
        </w:rPr>
        <w:t>Defect ID: BUG-002 | Severity: High | Priority: P1 | Subsystem: Financial Management</w:t>
      </w:r>
    </w:p>
    <w:p>
      <w:pPr>
        <w:spacing w:line="276" w:lineRule="auto" w:after="80"/>
      </w:pPr>
      <w:r>
        <w:rPr>
          <w:rFonts w:ascii="Calibri" w:hAnsi="Calibri"/>
          <w:b/>
          <w:color w:val="172B4D"/>
          <w:sz w:val="20"/>
        </w:rPr>
        <w:t xml:space="preserve">• </w:t>
      </w:r>
      <w:r>
        <w:rPr>
          <w:rFonts w:ascii="Calibri" w:hAnsi="Calibri"/>
          <w:i w:val="0"/>
          <w:color w:val="172B4D"/>
          <w:sz w:val="20"/>
        </w:rPr>
        <w:t>Title: Inter-Account Self-Reallocation Anomaly (Transfer to Self Permitted)</w:t>
      </w:r>
    </w:p>
    <w:p>
      <w:pPr>
        <w:spacing w:line="276" w:lineRule="auto" w:after="80"/>
      </w:pPr>
      <w:r>
        <w:rPr>
          <w:rFonts w:ascii="Calibri" w:hAnsi="Calibri"/>
          <w:b/>
          <w:color w:val="172B4D"/>
          <w:sz w:val="20"/>
        </w:rPr>
        <w:t xml:space="preserve">• </w:t>
      </w:r>
      <w:r>
        <w:rPr>
          <w:rFonts w:ascii="Calibri" w:hAnsi="Calibri"/>
          <w:i w:val="0"/>
          <w:color w:val="172B4D"/>
          <w:sz w:val="20"/>
        </w:rPr>
        <w:t>Steps to Reproduce: Authenticate as Company Owner, send POST /api/finance/reallocate with SourceAccountId = 1, TargetAccountId = 1, Amount = 5000.00.</w:t>
      </w:r>
    </w:p>
    <w:p>
      <w:pPr>
        <w:spacing w:line="276" w:lineRule="auto" w:after="80"/>
      </w:pPr>
      <w:r>
        <w:rPr>
          <w:rFonts w:ascii="Calibri" w:hAnsi="Calibri"/>
          <w:b/>
          <w:color w:val="172B4D"/>
          <w:sz w:val="20"/>
        </w:rPr>
        <w:t xml:space="preserve">• </w:t>
      </w:r>
      <w:r>
        <w:rPr>
          <w:rFonts w:ascii="Calibri" w:hAnsi="Calibri"/>
          <w:i w:val="0"/>
          <w:color w:val="172B4D"/>
          <w:sz w:val="20"/>
        </w:rPr>
        <w:t>Observed Behavior: The API returned HTTP 200 OK. Both source and target referenced the same entity instance. Balance netted out, but a redundant FundReallocation record was persisted.</w:t>
      </w:r>
    </w:p>
    <w:p>
      <w:pPr>
        <w:spacing w:line="276" w:lineRule="auto" w:after="80"/>
      </w:pPr>
      <w:r>
        <w:rPr>
          <w:rFonts w:ascii="Calibri" w:hAnsi="Calibri"/>
          <w:b/>
          <w:color w:val="172B4D"/>
          <w:sz w:val="20"/>
        </w:rPr>
        <w:t xml:space="preserve">• </w:t>
      </w:r>
      <w:r>
        <w:rPr>
          <w:rFonts w:ascii="Calibri" w:hAnsi="Calibri"/>
          <w:i w:val="0"/>
          <w:color w:val="172B4D"/>
          <w:sz w:val="20"/>
        </w:rPr>
        <w:t>Expected Behavior: The API must reject self-transfers with HTTP 400 Bad Request and error message: 'Source and target financial accounts cannot be identical for fund reallocation.'</w:t>
      </w:r>
    </w:p>
    <w:p>
      <w:pPr>
        <w:spacing w:line="276" w:lineRule="auto" w:after="80"/>
      </w:pPr>
      <w:r>
        <w:rPr>
          <w:rFonts w:ascii="Calibri" w:hAnsi="Calibri"/>
          <w:b/>
          <w:color w:val="172B4D"/>
          <w:sz w:val="20"/>
        </w:rPr>
        <w:t xml:space="preserve">• </w:t>
      </w:r>
      <w:r>
        <w:rPr>
          <w:rFonts w:ascii="Calibri" w:hAnsi="Calibri"/>
          <w:i w:val="0"/>
          <w:color w:val="172B4D"/>
          <w:sz w:val="20"/>
        </w:rPr>
        <w:t>Root Cause Analysis: Program.cs omitted a comparison checking if dto.SourceAccountId == dto.TargetAccountId.</w:t>
      </w:r>
    </w:p>
    <w:p>
      <w:pPr>
        <w:pStyle w:val="Heading2"/>
        <w:keepNext/>
        <w:spacing w:before="200" w:after="80"/>
      </w:pPr>
      <w:r>
        <w:rPr>
          <w:rFonts w:ascii="Calibri" w:hAnsi="Calibri"/>
          <w:b/>
          <w:color w:val="0052CC"/>
          <w:sz w:val="24"/>
        </w:rPr>
        <w:t>5.3 Deep Defect Investigation: BUG-003 (Story Points Boundary)</w:t>
      </w:r>
    </w:p>
    <w:p>
      <w:pPr>
        <w:spacing w:line="276" w:lineRule="auto" w:after="80"/>
      </w:pPr>
      <w:r>
        <w:rPr>
          <w:rFonts w:ascii="Calibri" w:hAnsi="Calibri"/>
          <w:b/>
          <w:color w:val="172B4D"/>
          <w:sz w:val="20"/>
        </w:rPr>
        <w:t xml:space="preserve">• </w:t>
      </w:r>
      <w:r>
        <w:rPr>
          <w:rFonts w:ascii="Calibri" w:hAnsi="Calibri"/>
          <w:i w:val="0"/>
          <w:color w:val="172B4D"/>
          <w:sz w:val="20"/>
        </w:rPr>
        <w:t>Defect ID: BUG-003 | Severity: Medium | Priority: P2 | Subsystem: Project Management</w:t>
      </w:r>
    </w:p>
    <w:p>
      <w:pPr>
        <w:spacing w:line="276" w:lineRule="auto" w:after="80"/>
      </w:pPr>
      <w:r>
        <w:rPr>
          <w:rFonts w:ascii="Calibri" w:hAnsi="Calibri"/>
          <w:b/>
          <w:color w:val="172B4D"/>
          <w:sz w:val="20"/>
        </w:rPr>
        <w:t xml:space="preserve">• </w:t>
      </w:r>
      <w:r>
        <w:rPr>
          <w:rFonts w:ascii="Calibri" w:hAnsi="Calibri"/>
          <w:i w:val="0"/>
          <w:color w:val="172B4D"/>
          <w:sz w:val="20"/>
        </w:rPr>
        <w:t>Title: Unconstrained Story Points Upper Boundary in Task Creation</w:t>
      </w:r>
    </w:p>
    <w:p>
      <w:pPr>
        <w:spacing w:line="276" w:lineRule="auto" w:after="80"/>
      </w:pPr>
      <w:r>
        <w:rPr>
          <w:rFonts w:ascii="Calibri" w:hAnsi="Calibri"/>
          <w:b/>
          <w:color w:val="172B4D"/>
          <w:sz w:val="20"/>
        </w:rPr>
        <w:t xml:space="preserve">• </w:t>
      </w:r>
      <w:r>
        <w:rPr>
          <w:rFonts w:ascii="Calibri" w:hAnsi="Calibri"/>
          <w:i w:val="0"/>
          <w:color w:val="172B4D"/>
          <w:sz w:val="20"/>
        </w:rPr>
        <w:t>Steps to Reproduce: Call POST /api/tasks with StoryPoints: 99999, Priority: 'High'.</w:t>
      </w:r>
    </w:p>
    <w:p>
      <w:pPr>
        <w:spacing w:line="276" w:lineRule="auto" w:after="80"/>
      </w:pPr>
      <w:r>
        <w:rPr>
          <w:rFonts w:ascii="Calibri" w:hAnsi="Calibri"/>
          <w:b/>
          <w:color w:val="172B4D"/>
          <w:sz w:val="20"/>
        </w:rPr>
        <w:t xml:space="preserve">• </w:t>
      </w:r>
      <w:r>
        <w:rPr>
          <w:rFonts w:ascii="Calibri" w:hAnsi="Calibri"/>
          <w:i w:val="0"/>
          <w:color w:val="172B4D"/>
          <w:sz w:val="20"/>
        </w:rPr>
        <w:t>Observed Behavior: The task was successfully created with 99,999 story points, distorting sprint burn-down charts.</w:t>
      </w:r>
    </w:p>
    <w:p>
      <w:pPr>
        <w:spacing w:line="276" w:lineRule="auto" w:after="80"/>
      </w:pPr>
      <w:r>
        <w:rPr>
          <w:rFonts w:ascii="Calibri" w:hAnsi="Calibri"/>
          <w:b/>
          <w:color w:val="172B4D"/>
          <w:sz w:val="20"/>
        </w:rPr>
        <w:t xml:space="preserve">• </w:t>
      </w:r>
      <w:r>
        <w:rPr>
          <w:rFonts w:ascii="Calibri" w:hAnsi="Calibri"/>
          <w:i w:val="0"/>
          <w:color w:val="172B4D"/>
          <w:sz w:val="20"/>
        </w:rPr>
        <w:t>Expected Behavior: The API should enforce an upper boundary constraint (0 &lt;= StoryPoints &lt;= 100) and return HTTP 400 Bad Request.</w:t>
      </w:r>
    </w:p>
    <w:p>
      <w:pPr>
        <w:pStyle w:val="Heading1"/>
        <w:keepNext/>
        <w:spacing w:before="280" w:after="100"/>
      </w:pPr>
      <w:r>
        <w:rPr>
          <w:rFonts w:ascii="Calibri" w:hAnsi="Calibri"/>
          <w:b/>
          <w:color w:val="0F294A"/>
          <w:sz w:val="29"/>
        </w:rPr>
        <w:t>6. Remediation &amp; Corrective Action Plan</w:t>
      </w:r>
    </w:p>
    <w:p>
      <w:pPr>
        <w:spacing w:line="276" w:lineRule="auto" w:after="80"/>
      </w:pPr>
      <w:r>
        <w:rPr>
          <w:rFonts w:ascii="Calibri" w:hAnsi="Calibri"/>
          <w:i w:val="0"/>
          <w:color w:val="172B4D"/>
          <w:sz w:val="20"/>
        </w:rPr>
        <w:t>To resolve the identified defects and elevate the platform to production-grade resilience, concrete code patches were directly applied to the codebase and verified live:</w:t>
      </w:r>
    </w:p>
    <w:p>
      <w:pPr>
        <w:pStyle w:val="Heading2"/>
        <w:keepNext/>
        <w:spacing w:before="200" w:after="80"/>
      </w:pPr>
      <w:r>
        <w:rPr>
          <w:rFonts w:ascii="Calibri" w:hAnsi="Calibri"/>
          <w:b/>
          <w:color w:val="0052CC"/>
          <w:sz w:val="24"/>
        </w:rPr>
        <w:t>6.1 Remediation for BUG-001 (Brand Logo Dynamic Routing)</w:t>
      </w:r>
    </w:p>
    <w:p>
      <w:pPr>
        <w:spacing w:line="276" w:lineRule="auto" w:after="80"/>
      </w:pPr>
      <w:r>
        <w:rPr>
          <w:rFonts w:ascii="Calibri" w:hAnsi="Calibri"/>
          <w:i w:val="0"/>
          <w:color w:val="172B4D"/>
          <w:sz w:val="20"/>
        </w:rPr>
        <w:t>In frontend/src/components/AppShell.jsx (line 212), updated NavLink to dynamically evaluate session state:</w:t>
      </w:r>
    </w:p>
    <w:p>
      <w:pPr>
        <w:spacing w:line="276" w:lineRule="auto" w:after="80"/>
      </w:pPr>
      <w:r>
        <w:rPr>
          <w:rFonts w:ascii="Calibri" w:hAnsi="Calibri"/>
          <w:i/>
          <w:color w:val="172B4D"/>
          <w:sz w:val="20"/>
        </w:rPr>
        <w:t>&lt;NavLink to={currentUser ? '/dashboard' : '/'} style={{ display: 'block', textDecoration: 'none' }}&gt;</w:t>
        <w:br/>
        <w:t xml:space="preserve">  &lt;GrindsetLogoNodes isDark={!lightMode} style={{ width: 140, height: 'auto' }} /&gt;</w:t>
        <w:br/>
        <w:t>&lt;/NavLink&gt;</w:t>
      </w:r>
    </w:p>
    <w:p>
      <w:pPr>
        <w:spacing w:line="276" w:lineRule="auto" w:after="80"/>
      </w:pPr>
      <w:r>
        <w:rPr>
          <w:rFonts w:ascii="Calibri" w:hAnsi="Calibri"/>
          <w:i w:val="0"/>
          <w:color w:val="172B4D"/>
          <w:sz w:val="20"/>
        </w:rPr>
        <w:t>Live Verification: Verified in browser session that clicking the brand logo on /workforce, /projects, or /finance smoothly returns to /dashboard without navigating to the public landing page.</w:t>
      </w:r>
    </w:p>
    <w:p>
      <w:pPr>
        <w:pStyle w:val="Heading2"/>
        <w:keepNext/>
        <w:spacing w:before="200" w:after="80"/>
      </w:pPr>
      <w:r>
        <w:rPr>
          <w:rFonts w:ascii="Calibri" w:hAnsi="Calibri"/>
          <w:b/>
          <w:color w:val="0052CC"/>
          <w:sz w:val="24"/>
        </w:rPr>
        <w:t>6.2 Remediation for BUG-002 (Self-Reallocation Prevention)</w:t>
      </w:r>
    </w:p>
    <w:p>
      <w:pPr>
        <w:spacing w:line="276" w:lineRule="auto" w:after="80"/>
      </w:pPr>
      <w:r>
        <w:rPr>
          <w:rFonts w:ascii="Calibri" w:hAnsi="Calibri"/>
          <w:i w:val="0"/>
          <w:color w:val="172B4D"/>
          <w:sz w:val="20"/>
        </w:rPr>
        <w:t>In backend/GrindSet.Api/Program.cs (line 2194), inserted explicit guard clause:</w:t>
      </w:r>
    </w:p>
    <w:p>
      <w:pPr>
        <w:spacing w:line="276" w:lineRule="auto" w:after="80"/>
      </w:pPr>
      <w:r>
        <w:rPr>
          <w:rFonts w:ascii="Calibri" w:hAnsi="Calibri"/>
          <w:i/>
          <w:color w:val="172B4D"/>
          <w:sz w:val="20"/>
        </w:rPr>
        <w:t>if (dto.SourceAccountId == dto.TargetAccountId)</w:t>
        <w:br/>
        <w:t>{</w:t>
        <w:br/>
        <w:t xml:space="preserve">    return Results.BadRequest(new { message = 'Source and target financial accounts cannot be identical for fund reallocation.' });</w:t>
        <w:br/>
        <w:t>}</w:t>
      </w:r>
    </w:p>
    <w:p>
      <w:pPr>
        <w:spacing w:line="276" w:lineRule="auto" w:after="80"/>
      </w:pPr>
      <w:r>
        <w:rPr>
          <w:rFonts w:ascii="Calibri" w:hAnsi="Calibri"/>
          <w:i w:val="0"/>
          <w:color w:val="172B4D"/>
          <w:sz w:val="20"/>
        </w:rPr>
        <w:t>Live Verification: Terminal test with PowerShell confirmed HTTP 400 Bad Request with exact error message returned.</w:t>
      </w:r>
    </w:p>
    <w:p>
      <w:pPr>
        <w:pStyle w:val="Heading2"/>
        <w:keepNext/>
        <w:spacing w:before="200" w:after="80"/>
      </w:pPr>
      <w:r>
        <w:rPr>
          <w:rFonts w:ascii="Calibri" w:hAnsi="Calibri"/>
          <w:b/>
          <w:color w:val="0052CC"/>
          <w:sz w:val="24"/>
        </w:rPr>
        <w:t>6.3 Remediation for BUG-003 (Story Points Boundary Guard)</w:t>
      </w:r>
    </w:p>
    <w:p>
      <w:pPr>
        <w:spacing w:line="276" w:lineRule="auto" w:after="80"/>
      </w:pPr>
      <w:r>
        <w:rPr>
          <w:rFonts w:ascii="Calibri" w:hAnsi="Calibri"/>
          <w:i w:val="0"/>
          <w:color w:val="172B4D"/>
          <w:sz w:val="20"/>
        </w:rPr>
        <w:t>In backend/GrindSet.Api/Program.cs (line 1958), added range validation:</w:t>
      </w:r>
    </w:p>
    <w:p>
      <w:pPr>
        <w:spacing w:line="276" w:lineRule="auto" w:after="80"/>
      </w:pPr>
      <w:r>
        <w:rPr>
          <w:rFonts w:ascii="Calibri" w:hAnsi="Calibri"/>
          <w:i/>
          <w:color w:val="172B4D"/>
          <w:sz w:val="20"/>
        </w:rPr>
        <w:t>if (dto.StoryPoints &lt; 0 || dto.StoryPoints &gt; 100)</w:t>
        <w:br/>
        <w:t>{</w:t>
        <w:br/>
        <w:t xml:space="preserve">    return Results.BadRequest(new { message = 'Story points must be between 0 and 100 per individual task.' });</w:t>
        <w:br/>
        <w:t>}</w:t>
      </w:r>
    </w:p>
    <w:p>
      <w:pPr>
        <w:spacing w:line="276" w:lineRule="auto" w:after="80"/>
      </w:pPr>
      <w:r>
        <w:rPr>
          <w:rFonts w:ascii="Calibri" w:hAnsi="Calibri"/>
          <w:i w:val="0"/>
          <w:color w:val="172B4D"/>
          <w:sz w:val="20"/>
        </w:rPr>
        <w:t>Live Verification: Terminal test with StoryPoints = 99999 confirmed HTTP 400 Bad Request returned.</w:t>
      </w:r>
    </w:p>
    <w:p>
      <w:pPr>
        <w:pStyle w:val="Heading2"/>
        <w:keepNext/>
        <w:spacing w:before="200" w:after="80"/>
      </w:pPr>
      <w:r>
        <w:rPr>
          <w:rFonts w:ascii="Calibri" w:hAnsi="Calibri"/>
          <w:b/>
          <w:color w:val="0052CC"/>
          <w:sz w:val="24"/>
        </w:rPr>
        <w:t>6.4 Remediation for BUG-004 (Safe SQLite Schema Migration)</w:t>
      </w:r>
    </w:p>
    <w:p>
      <w:pPr>
        <w:spacing w:line="276" w:lineRule="auto" w:after="80"/>
      </w:pPr>
      <w:r>
        <w:rPr>
          <w:rFonts w:ascii="Calibri" w:hAnsi="Calibri"/>
          <w:i w:val="0"/>
          <w:color w:val="172B4D"/>
          <w:sz w:val="20"/>
        </w:rPr>
        <w:t>In backend/GrindSet.Api/Data/DbInitializer.cs (lines 68-84), added idempotent column checks wrapped in try-catch blocks to safely alter existing tables without startup crashes.</w:t>
      </w:r>
    </w:p>
    <w:p>
      <w:pPr>
        <w:pStyle w:val="Heading1"/>
        <w:keepNext/>
        <w:spacing w:before="280" w:after="100"/>
      </w:pPr>
      <w:r>
        <w:rPr>
          <w:rFonts w:ascii="Calibri" w:hAnsi="Calibri"/>
          <w:b/>
          <w:color w:val="0F294A"/>
          <w:sz w:val="29"/>
        </w:rPr>
        <w:t>7. Requirements Traceability Matrix (RTM)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80"/>
        <w:gridCol w:w="1680"/>
        <w:gridCol w:w="1680"/>
        <w:gridCol w:w="1680"/>
        <w:gridCol w:w="1680"/>
        <w:gridCol w:w="1680"/>
      </w:tblGrid>
      <w:tr>
        <w:trPr>
          <w:tblHeader/>
          <w:cantSplit/>
        </w:trPr>
        <w:tc>
          <w:tcPr>
            <w:tcW w:type="dxa" w:w="1440"/>
            <w:shd w:fill="0F294A"/>
            <w:tcMar>
              <w:top w:w="120" w:type="dxa"/>
              <w:bottom w:w="120" w:type="dxa"/>
              <w:left w:w="140" w:type="dxa"/>
              <w:right w:w="140" w:type="dxa"/>
            </w:tcMar>
          </w:tcPr>
          <w:p>
            <w:pPr>
              <w:jc w:val="left"/>
            </w:pPr>
            <w:r>
              <w:rPr>
                <w:rFonts w:ascii="Calibri" w:hAnsi="Calibri"/>
                <w:b/>
                <w:color w:val="FFFFFF"/>
                <w:sz w:val="19"/>
              </w:rPr>
              <w:t>Requirement ID</w:t>
            </w:r>
          </w:p>
        </w:tc>
        <w:tc>
          <w:tcPr>
            <w:tcW w:type="dxa" w:w="2592"/>
            <w:shd w:fill="0F294A"/>
            <w:tcMar>
              <w:top w:w="120" w:type="dxa"/>
              <w:bottom w:w="120" w:type="dxa"/>
              <w:left w:w="140" w:type="dxa"/>
              <w:right w:w="140" w:type="dxa"/>
            </w:tcMar>
          </w:tcPr>
          <w:p>
            <w:pPr>
              <w:jc w:val="left"/>
            </w:pPr>
            <w:r>
              <w:rPr>
                <w:rFonts w:ascii="Calibri" w:hAnsi="Calibri"/>
                <w:b/>
                <w:color w:val="FFFFFF"/>
                <w:sz w:val="19"/>
              </w:rPr>
              <w:t>Business Requirement Description</w:t>
            </w:r>
          </w:p>
        </w:tc>
        <w:tc>
          <w:tcPr>
            <w:tcW w:type="dxa" w:w="1728"/>
            <w:shd w:fill="0F294A"/>
            <w:tcMar>
              <w:top w:w="120" w:type="dxa"/>
              <w:bottom w:w="120" w:type="dxa"/>
              <w:left w:w="140" w:type="dxa"/>
              <w:right w:w="140" w:type="dxa"/>
            </w:tcMar>
          </w:tcPr>
          <w:p>
            <w:pPr>
              <w:jc w:val="left"/>
            </w:pPr>
            <w:r>
              <w:rPr>
                <w:rFonts w:ascii="Calibri" w:hAnsi="Calibri"/>
                <w:b/>
                <w:color w:val="FFFFFF"/>
                <w:sz w:val="19"/>
              </w:rPr>
              <w:t>Feature Module</w:t>
            </w:r>
          </w:p>
        </w:tc>
        <w:tc>
          <w:tcPr>
            <w:tcW w:type="dxa" w:w="1584"/>
            <w:shd w:fill="0F294A"/>
            <w:tcMar>
              <w:top w:w="120" w:type="dxa"/>
              <w:bottom w:w="120" w:type="dxa"/>
              <w:left w:w="140" w:type="dxa"/>
              <w:right w:w="140" w:type="dxa"/>
            </w:tcMar>
          </w:tcPr>
          <w:p>
            <w:pPr>
              <w:jc w:val="left"/>
            </w:pPr>
            <w:r>
              <w:rPr>
                <w:rFonts w:ascii="Calibri" w:hAnsi="Calibri"/>
                <w:b/>
                <w:color w:val="FFFFFF"/>
                <w:sz w:val="19"/>
              </w:rPr>
              <w:t>Associated Test Cases</w:t>
            </w:r>
          </w:p>
        </w:tc>
        <w:tc>
          <w:tcPr>
            <w:tcW w:type="dxa" w:w="1440"/>
            <w:shd w:fill="0F294A"/>
            <w:tcMar>
              <w:top w:w="120" w:type="dxa"/>
              <w:bottom w:w="120" w:type="dxa"/>
              <w:left w:w="140" w:type="dxa"/>
              <w:right w:w="140" w:type="dxa"/>
            </w:tcMar>
          </w:tcPr>
          <w:p>
            <w:pPr>
              <w:jc w:val="left"/>
            </w:pPr>
            <w:r>
              <w:rPr>
                <w:rFonts w:ascii="Calibri" w:hAnsi="Calibri"/>
                <w:b/>
                <w:color w:val="FFFFFF"/>
                <w:sz w:val="19"/>
              </w:rPr>
              <w:t>SDLC Level</w:t>
            </w:r>
          </w:p>
        </w:tc>
        <w:tc>
          <w:tcPr>
            <w:tcW w:type="dxa" w:w="1296"/>
            <w:shd w:fill="0F294A"/>
            <w:tcMar>
              <w:top w:w="120" w:type="dxa"/>
              <w:bottom w:w="120" w:type="dxa"/>
              <w:left w:w="140" w:type="dxa"/>
              <w:right w:w="140" w:type="dxa"/>
            </w:tcMar>
          </w:tcPr>
          <w:p>
            <w:pPr>
              <w:jc w:val="left"/>
            </w:pPr>
            <w:r>
              <w:rPr>
                <w:rFonts w:ascii="Calibri" w:hAnsi="Calibri"/>
                <w:b/>
                <w:color w:val="FFFFFF"/>
                <w:sz w:val="19"/>
              </w:rPr>
              <w:t>Verification Status</w:t>
            </w:r>
          </w:p>
        </w:tc>
      </w:tr>
      <w:tr>
        <w:trPr>
          <w:cantSplit/>
        </w:trPr>
        <w:tc>
          <w:tcPr>
            <w:tcW w:type="dxa" w:w="1440"/>
            <w:shd w:fill="FFFFFF"/>
            <w:tcMar>
              <w:top w:w="80" w:type="dxa"/>
              <w:bottom w:w="80" w:type="dxa"/>
              <w:left w:w="120" w:type="dxa"/>
              <w:right w:w="120" w:type="dxa"/>
            </w:tcMar>
          </w:tcPr>
          <w:p>
            <w:pPr>
              <w:spacing w:line="252" w:lineRule="auto"/>
            </w:pPr>
            <w:r>
              <w:rPr>
                <w:rFonts w:ascii="Calibri" w:hAnsi="Calibri"/>
                <w:b/>
                <w:color w:val="172B4D"/>
                <w:sz w:val="17"/>
              </w:rPr>
              <w:t>REQ-AUTH-01</w:t>
            </w:r>
          </w:p>
        </w:tc>
        <w:tc>
          <w:tcPr>
            <w:tcW w:type="dxa" w:w="2592"/>
            <w:shd w:fill="FFFFFF"/>
            <w:tcMar>
              <w:top w:w="80" w:type="dxa"/>
              <w:bottom w:w="80" w:type="dxa"/>
              <w:left w:w="120" w:type="dxa"/>
              <w:right w:w="120" w:type="dxa"/>
            </w:tcMar>
          </w:tcPr>
          <w:p>
            <w:pPr>
              <w:spacing w:line="252" w:lineRule="auto"/>
            </w:pPr>
            <w:r>
              <w:rPr>
                <w:rFonts w:ascii="Calibri" w:hAnsi="Calibri"/>
                <w:color w:val="172B4D"/>
                <w:sz w:val="17"/>
              </w:rPr>
              <w:t>Secure multi-tenant authentication with salted SHA-256 and JWT tokens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Auth &amp; Identity</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TC-AUTH-001 to 006</w:t>
            </w:r>
          </w:p>
        </w:tc>
        <w:tc>
          <w:tcPr>
            <w:tcW w:type="dxa" w:w="1440"/>
            <w:shd w:fill="FFFFFF"/>
            <w:tcMar>
              <w:top w:w="80" w:type="dxa"/>
              <w:bottom w:w="80" w:type="dxa"/>
              <w:left w:w="120" w:type="dxa"/>
              <w:right w:w="120" w:type="dxa"/>
            </w:tcMar>
          </w:tcPr>
          <w:p>
            <w:pPr>
              <w:spacing w:line="252" w:lineRule="auto"/>
            </w:pPr>
            <w:r>
              <w:rPr>
                <w:rFonts w:ascii="Calibri" w:hAnsi="Calibri"/>
                <w:color w:val="172B4D"/>
                <w:sz w:val="17"/>
              </w:rPr>
              <w:t>Unit, Integration</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Verified (100% Pass)</w:t>
            </w:r>
          </w:p>
        </w:tc>
      </w:tr>
      <w:tr>
        <w:trPr>
          <w:cantSplit/>
        </w:trPr>
        <w:tc>
          <w:tcPr>
            <w:tcW w:type="dxa" w:w="1440"/>
            <w:shd w:fill="F8FAFC"/>
            <w:tcMar>
              <w:top w:w="80" w:type="dxa"/>
              <w:bottom w:w="80" w:type="dxa"/>
              <w:left w:w="120" w:type="dxa"/>
              <w:right w:w="120" w:type="dxa"/>
            </w:tcMar>
          </w:tcPr>
          <w:p>
            <w:pPr>
              <w:spacing w:line="252" w:lineRule="auto"/>
            </w:pPr>
            <w:r>
              <w:rPr>
                <w:rFonts w:ascii="Calibri" w:hAnsi="Calibri"/>
                <w:b/>
                <w:color w:val="172B4D"/>
                <w:sz w:val="17"/>
              </w:rPr>
              <w:t>REQ-RBAC-02</w:t>
            </w:r>
          </w:p>
        </w:tc>
        <w:tc>
          <w:tcPr>
            <w:tcW w:type="dxa" w:w="2592"/>
            <w:shd w:fill="F8FAFC"/>
            <w:tcMar>
              <w:top w:w="80" w:type="dxa"/>
              <w:bottom w:w="80" w:type="dxa"/>
              <w:left w:w="120" w:type="dxa"/>
              <w:right w:w="120" w:type="dxa"/>
            </w:tcMar>
          </w:tcPr>
          <w:p>
            <w:pPr>
              <w:spacing w:line="252" w:lineRule="auto"/>
            </w:pPr>
            <w:r>
              <w:rPr>
                <w:rFonts w:ascii="Calibri" w:hAnsi="Calibri"/>
                <w:color w:val="172B4D"/>
                <w:sz w:val="17"/>
              </w:rPr>
              <w:t>Enforce 3-tier Role-Based Access Control and navigation routing</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3-Tier RBAC</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TC-RBAC-001 to 006</w:t>
            </w:r>
          </w:p>
        </w:tc>
        <w:tc>
          <w:tcPr>
            <w:tcW w:type="dxa" w:w="1440"/>
            <w:shd w:fill="F8FAFC"/>
            <w:tcMar>
              <w:top w:w="80" w:type="dxa"/>
              <w:bottom w:w="80" w:type="dxa"/>
              <w:left w:w="120" w:type="dxa"/>
              <w:right w:w="120" w:type="dxa"/>
            </w:tcMar>
          </w:tcPr>
          <w:p>
            <w:pPr>
              <w:spacing w:line="252" w:lineRule="auto"/>
            </w:pPr>
            <w:r>
              <w:rPr>
                <w:rFonts w:ascii="Calibri" w:hAnsi="Calibri"/>
                <w:color w:val="172B4D"/>
                <w:sz w:val="17"/>
              </w:rPr>
              <w:t>Integration, System</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Verified (BUG-001 Patched)</w:t>
            </w:r>
          </w:p>
        </w:tc>
      </w:tr>
      <w:tr>
        <w:trPr>
          <w:cantSplit/>
        </w:trPr>
        <w:tc>
          <w:tcPr>
            <w:tcW w:type="dxa" w:w="1440"/>
            <w:shd w:fill="FFFFFF"/>
            <w:tcMar>
              <w:top w:w="80" w:type="dxa"/>
              <w:bottom w:w="80" w:type="dxa"/>
              <w:left w:w="120" w:type="dxa"/>
              <w:right w:w="120" w:type="dxa"/>
            </w:tcMar>
          </w:tcPr>
          <w:p>
            <w:pPr>
              <w:spacing w:line="252" w:lineRule="auto"/>
            </w:pPr>
            <w:r>
              <w:rPr>
                <w:rFonts w:ascii="Calibri" w:hAnsi="Calibri"/>
                <w:b/>
                <w:color w:val="172B4D"/>
                <w:sz w:val="17"/>
              </w:rPr>
              <w:t>REQ-GOV-03</w:t>
            </w:r>
          </w:p>
        </w:tc>
        <w:tc>
          <w:tcPr>
            <w:tcW w:type="dxa" w:w="2592"/>
            <w:shd w:fill="FFFFFF"/>
            <w:tcMar>
              <w:top w:w="80" w:type="dxa"/>
              <w:bottom w:w="80" w:type="dxa"/>
              <w:left w:w="120" w:type="dxa"/>
              <w:right w:w="120" w:type="dxa"/>
            </w:tcMar>
          </w:tcPr>
          <w:p>
            <w:pPr>
              <w:spacing w:line="252" w:lineRule="auto"/>
            </w:pPr>
            <w:r>
              <w:rPr>
                <w:rFonts w:ascii="Calibri" w:hAnsi="Calibri"/>
                <w:color w:val="172B4D"/>
                <w:sz w:val="17"/>
              </w:rPr>
              <w:t>Multi-stage registration with blur lockout for pending applicants</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Approval Governance</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TC-APPR-001 to 005</w:t>
            </w:r>
          </w:p>
        </w:tc>
        <w:tc>
          <w:tcPr>
            <w:tcW w:type="dxa" w:w="1440"/>
            <w:shd w:fill="FFFFFF"/>
            <w:tcMar>
              <w:top w:w="80" w:type="dxa"/>
              <w:bottom w:w="80" w:type="dxa"/>
              <w:left w:w="120" w:type="dxa"/>
              <w:right w:w="120" w:type="dxa"/>
            </w:tcMar>
          </w:tcPr>
          <w:p>
            <w:pPr>
              <w:spacing w:line="252" w:lineRule="auto"/>
            </w:pPr>
            <w:r>
              <w:rPr>
                <w:rFonts w:ascii="Calibri" w:hAnsi="Calibri"/>
                <w:color w:val="172B4D"/>
                <w:sz w:val="17"/>
              </w:rPr>
              <w:t>Integration, System</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Verified (100% Pass)</w:t>
            </w:r>
          </w:p>
        </w:tc>
      </w:tr>
      <w:tr>
        <w:trPr>
          <w:cantSplit/>
        </w:trPr>
        <w:tc>
          <w:tcPr>
            <w:tcW w:type="dxa" w:w="1440"/>
            <w:shd w:fill="F8FAFC"/>
            <w:tcMar>
              <w:top w:w="80" w:type="dxa"/>
              <w:bottom w:w="80" w:type="dxa"/>
              <w:left w:w="120" w:type="dxa"/>
              <w:right w:w="120" w:type="dxa"/>
            </w:tcMar>
          </w:tcPr>
          <w:p>
            <w:pPr>
              <w:spacing w:line="252" w:lineRule="auto"/>
            </w:pPr>
            <w:r>
              <w:rPr>
                <w:rFonts w:ascii="Calibri" w:hAnsi="Calibri"/>
                <w:b/>
                <w:color w:val="172B4D"/>
                <w:sz w:val="17"/>
              </w:rPr>
              <w:t>REQ-WORK-04</w:t>
            </w:r>
          </w:p>
        </w:tc>
        <w:tc>
          <w:tcPr>
            <w:tcW w:type="dxa" w:w="2592"/>
            <w:shd w:fill="F8FAFC"/>
            <w:tcMar>
              <w:top w:w="80" w:type="dxa"/>
              <w:bottom w:w="80" w:type="dxa"/>
              <w:left w:w="120" w:type="dxa"/>
              <w:right w:w="120" w:type="dxa"/>
            </w:tcMar>
          </w:tcPr>
          <w:p>
            <w:pPr>
              <w:spacing w:line="252" w:lineRule="auto"/>
            </w:pPr>
            <w:r>
              <w:rPr>
                <w:rFonts w:ascii="Calibri" w:hAnsi="Calibri"/>
                <w:color w:val="172B4D"/>
                <w:sz w:val="17"/>
              </w:rPr>
              <w:t>Workforce onboarding, hourly billing rates ($85–$115/hr), and weekly timesheet math</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Workforce Subsystem</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TC-WORK-001 to 005</w:t>
            </w:r>
          </w:p>
        </w:tc>
        <w:tc>
          <w:tcPr>
            <w:tcW w:type="dxa" w:w="1440"/>
            <w:shd w:fill="F8FAFC"/>
            <w:tcMar>
              <w:top w:w="80" w:type="dxa"/>
              <w:bottom w:w="80" w:type="dxa"/>
              <w:left w:w="120" w:type="dxa"/>
              <w:right w:w="120" w:type="dxa"/>
            </w:tcMar>
          </w:tcPr>
          <w:p>
            <w:pPr>
              <w:spacing w:line="252" w:lineRule="auto"/>
            </w:pPr>
            <w:r>
              <w:rPr>
                <w:rFonts w:ascii="Calibri" w:hAnsi="Calibri"/>
                <w:color w:val="172B4D"/>
                <w:sz w:val="17"/>
              </w:rPr>
              <w:t>Unit, Integration</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Verified (100% Pass)</w:t>
            </w:r>
          </w:p>
        </w:tc>
      </w:tr>
      <w:tr>
        <w:trPr>
          <w:cantSplit/>
        </w:trPr>
        <w:tc>
          <w:tcPr>
            <w:tcW w:type="dxa" w:w="1440"/>
            <w:shd w:fill="FFFFFF"/>
            <w:tcMar>
              <w:top w:w="80" w:type="dxa"/>
              <w:bottom w:w="80" w:type="dxa"/>
              <w:left w:w="120" w:type="dxa"/>
              <w:right w:w="120" w:type="dxa"/>
            </w:tcMar>
          </w:tcPr>
          <w:p>
            <w:pPr>
              <w:spacing w:line="252" w:lineRule="auto"/>
            </w:pPr>
            <w:r>
              <w:rPr>
                <w:rFonts w:ascii="Calibri" w:hAnsi="Calibri"/>
                <w:b/>
                <w:color w:val="172B4D"/>
                <w:sz w:val="17"/>
              </w:rPr>
              <w:t>REQ-PROJ-05</w:t>
            </w:r>
          </w:p>
        </w:tc>
        <w:tc>
          <w:tcPr>
            <w:tcW w:type="dxa" w:w="2592"/>
            <w:shd w:fill="FFFFFF"/>
            <w:tcMar>
              <w:top w:w="80" w:type="dxa"/>
              <w:bottom w:w="80" w:type="dxa"/>
              <w:left w:w="120" w:type="dxa"/>
              <w:right w:w="120" w:type="dxa"/>
            </w:tcMar>
          </w:tcPr>
          <w:p>
            <w:pPr>
              <w:spacing w:line="252" w:lineRule="auto"/>
            </w:pPr>
            <w:r>
              <w:rPr>
                <w:rFonts w:ascii="Calibri" w:hAnsi="Calibri"/>
                <w:color w:val="172B4D"/>
                <w:sz w:val="17"/>
              </w:rPr>
              <w:t>Project-scoped task management with Agile Sprint Kanban progression</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Project Management</w:t>
            </w:r>
          </w:p>
        </w:tc>
        <w:tc>
          <w:tcPr>
            <w:tcW w:type="dxa" w:w="1584"/>
            <w:shd w:fill="FFFFFF"/>
            <w:tcMar>
              <w:top w:w="80" w:type="dxa"/>
              <w:bottom w:w="80" w:type="dxa"/>
              <w:left w:w="120" w:type="dxa"/>
              <w:right w:w="120" w:type="dxa"/>
            </w:tcMar>
          </w:tcPr>
          <w:p>
            <w:pPr>
              <w:spacing w:line="252" w:lineRule="auto"/>
            </w:pPr>
            <w:r>
              <w:rPr>
                <w:rFonts w:ascii="Calibri" w:hAnsi="Calibri"/>
                <w:color w:val="172B4D"/>
                <w:sz w:val="17"/>
              </w:rPr>
              <w:t>TC-PROJ-001 to 006</w:t>
            </w:r>
          </w:p>
        </w:tc>
        <w:tc>
          <w:tcPr>
            <w:tcW w:type="dxa" w:w="1440"/>
            <w:shd w:fill="FFFFFF"/>
            <w:tcMar>
              <w:top w:w="80" w:type="dxa"/>
              <w:bottom w:w="80" w:type="dxa"/>
              <w:left w:w="120" w:type="dxa"/>
              <w:right w:w="120" w:type="dxa"/>
            </w:tcMar>
          </w:tcPr>
          <w:p>
            <w:pPr>
              <w:spacing w:line="252" w:lineRule="auto"/>
            </w:pPr>
            <w:r>
              <w:rPr>
                <w:rFonts w:ascii="Calibri" w:hAnsi="Calibri"/>
                <w:color w:val="172B4D"/>
                <w:sz w:val="17"/>
              </w:rPr>
              <w:t>Unit, Integration, System</w:t>
            </w:r>
          </w:p>
        </w:tc>
        <w:tc>
          <w:tcPr>
            <w:tcW w:type="dxa" w:w="1296"/>
            <w:shd w:fill="FFFFFF"/>
            <w:tcMar>
              <w:top w:w="80" w:type="dxa"/>
              <w:bottom w:w="80" w:type="dxa"/>
              <w:left w:w="120" w:type="dxa"/>
              <w:right w:w="120" w:type="dxa"/>
            </w:tcMar>
          </w:tcPr>
          <w:p>
            <w:pPr>
              <w:spacing w:line="252" w:lineRule="auto"/>
            </w:pPr>
            <w:r>
              <w:rPr>
                <w:rFonts w:ascii="Calibri" w:hAnsi="Calibri"/>
                <w:color w:val="172B4D"/>
                <w:sz w:val="17"/>
              </w:rPr>
              <w:t>Verified (BUG-003 Patched)</w:t>
            </w:r>
          </w:p>
        </w:tc>
      </w:tr>
      <w:tr>
        <w:trPr>
          <w:cantSplit/>
        </w:trPr>
        <w:tc>
          <w:tcPr>
            <w:tcW w:type="dxa" w:w="1440"/>
            <w:shd w:fill="F8FAFC"/>
            <w:tcMar>
              <w:top w:w="80" w:type="dxa"/>
              <w:bottom w:w="80" w:type="dxa"/>
              <w:left w:w="120" w:type="dxa"/>
              <w:right w:w="120" w:type="dxa"/>
            </w:tcMar>
          </w:tcPr>
          <w:p>
            <w:pPr>
              <w:spacing w:line="252" w:lineRule="auto"/>
            </w:pPr>
            <w:r>
              <w:rPr>
                <w:rFonts w:ascii="Calibri" w:hAnsi="Calibri"/>
                <w:b/>
                <w:color w:val="172B4D"/>
                <w:sz w:val="17"/>
              </w:rPr>
              <w:t>REQ-FIN-06</w:t>
            </w:r>
          </w:p>
        </w:tc>
        <w:tc>
          <w:tcPr>
            <w:tcW w:type="dxa" w:w="2592"/>
            <w:shd w:fill="F8FAFC"/>
            <w:tcMar>
              <w:top w:w="80" w:type="dxa"/>
              <w:bottom w:w="80" w:type="dxa"/>
              <w:left w:w="120" w:type="dxa"/>
              <w:right w:w="120" w:type="dxa"/>
            </w:tcMar>
          </w:tcPr>
          <w:p>
            <w:pPr>
              <w:spacing w:line="252" w:lineRule="auto"/>
            </w:pPr>
            <w:r>
              <w:rPr>
                <w:rFonts w:ascii="Calibri" w:hAnsi="Calibri"/>
                <w:color w:val="172B4D"/>
                <w:sz w:val="17"/>
              </w:rPr>
              <w:t>Double-entry budget reallocation and low-liquidity warning alerts (&lt; 20%)</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Finance &amp; Ledger</w:t>
            </w:r>
          </w:p>
        </w:tc>
        <w:tc>
          <w:tcPr>
            <w:tcW w:type="dxa" w:w="1584"/>
            <w:shd w:fill="F8FAFC"/>
            <w:tcMar>
              <w:top w:w="80" w:type="dxa"/>
              <w:bottom w:w="80" w:type="dxa"/>
              <w:left w:w="120" w:type="dxa"/>
              <w:right w:w="120" w:type="dxa"/>
            </w:tcMar>
          </w:tcPr>
          <w:p>
            <w:pPr>
              <w:spacing w:line="252" w:lineRule="auto"/>
            </w:pPr>
            <w:r>
              <w:rPr>
                <w:rFonts w:ascii="Calibri" w:hAnsi="Calibri"/>
                <w:color w:val="172B4D"/>
                <w:sz w:val="17"/>
              </w:rPr>
              <w:t>TC-FIN-001 to 006</w:t>
            </w:r>
          </w:p>
        </w:tc>
        <w:tc>
          <w:tcPr>
            <w:tcW w:type="dxa" w:w="1440"/>
            <w:shd w:fill="F8FAFC"/>
            <w:tcMar>
              <w:top w:w="80" w:type="dxa"/>
              <w:bottom w:w="80" w:type="dxa"/>
              <w:left w:w="120" w:type="dxa"/>
              <w:right w:w="120" w:type="dxa"/>
            </w:tcMar>
          </w:tcPr>
          <w:p>
            <w:pPr>
              <w:spacing w:line="252" w:lineRule="auto"/>
            </w:pPr>
            <w:r>
              <w:rPr>
                <w:rFonts w:ascii="Calibri" w:hAnsi="Calibri"/>
                <w:color w:val="172B4D"/>
                <w:sz w:val="17"/>
              </w:rPr>
              <w:t>Unit, Integration</w:t>
            </w:r>
          </w:p>
        </w:tc>
        <w:tc>
          <w:tcPr>
            <w:tcW w:type="dxa" w:w="1296"/>
            <w:shd w:fill="F8FAFC"/>
            <w:tcMar>
              <w:top w:w="80" w:type="dxa"/>
              <w:bottom w:w="80" w:type="dxa"/>
              <w:left w:w="120" w:type="dxa"/>
              <w:right w:w="120" w:type="dxa"/>
            </w:tcMar>
          </w:tcPr>
          <w:p>
            <w:pPr>
              <w:spacing w:line="252" w:lineRule="auto"/>
            </w:pPr>
            <w:r>
              <w:rPr>
                <w:rFonts w:ascii="Calibri" w:hAnsi="Calibri"/>
                <w:color w:val="172B4D"/>
                <w:sz w:val="17"/>
              </w:rPr>
              <w:t>Verified (BUG-002 Patched)</w:t>
            </w:r>
          </w:p>
        </w:tc>
      </w:tr>
    </w:tbl>
    <w:p>
      <w:pPr>
        <w:pStyle w:val="Heading1"/>
        <w:keepNext/>
        <w:spacing w:before="280" w:after="100"/>
      </w:pPr>
      <w:r>
        <w:rPr>
          <w:rFonts w:ascii="Calibri" w:hAnsi="Calibri"/>
          <w:b/>
          <w:color w:val="0F294A"/>
          <w:sz w:val="29"/>
        </w:rPr>
        <w:t>8. Conclusion &amp; Quality Assurance Sign-Off</w:t>
      </w:r>
    </w:p>
    <w:p>
      <w:pPr>
        <w:spacing w:line="276" w:lineRule="auto" w:after="80"/>
      </w:pPr>
      <w:r>
        <w:rPr>
          <w:rFonts w:ascii="Calibri" w:hAnsi="Calibri"/>
          <w:i w:val="0"/>
          <w:color w:val="172B4D"/>
          <w:sz w:val="20"/>
        </w:rPr>
        <w:t>The systematic testing process conducted for Laboratory 6 demonstrates that the GrindSet 3-Tier RBC ERP System has achieved an exceptional standard of software quality, stability, and security across its implemented subsystems. Testing was rigorously structured across all four SDLC testing levels—Unit, Integration, System, and Acceptance (UAT)—ensuring that both granular algorithmic components and complex multi-tier business workflows behave reliably.</w:t>
      </w:r>
    </w:p>
    <w:p>
      <w:pPr>
        <w:spacing w:line="276" w:lineRule="auto" w:after="80"/>
      </w:pPr>
      <w:r>
        <w:rPr>
          <w:rFonts w:ascii="Calibri" w:hAnsi="Calibri"/>
          <w:i w:val="0"/>
          <w:color w:val="172B4D"/>
          <w:sz w:val="20"/>
        </w:rPr>
        <w:t>By placing rigorous focus on exceptional, boundary, and invalid scenarios, testing successfully uncovered subtle defects (including brand logo route misdirection, the self-reallocation anomaly, and story point upper limit), enabling proactive remediation prior to production release. With a 91.2% first-pass test success rate (31 passed out of 34 executed) and validated code remediations for all identified defects, the GrindSet ERP platform is certified as robust, compliant with course requirements, and ready for deployment.</w:t>
      </w:r>
    </w:p>
    <w:p>
      <w:pPr>
        <w:pStyle w:val="Heading2"/>
        <w:keepNext/>
        <w:spacing w:before="200" w:after="80"/>
      </w:pPr>
      <w:r>
        <w:rPr>
          <w:rFonts w:ascii="Calibri" w:hAnsi="Calibri"/>
          <w:b/>
          <w:color w:val="0052CC"/>
          <w:sz w:val="24"/>
        </w:rPr>
        <w:t>8.1 Formal QA Sign-Off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016"/>
        <w:gridCol w:w="2016"/>
        <w:gridCol w:w="2016"/>
        <w:gridCol w:w="2016"/>
      </w:tblGrid>
      <w:tr>
        <w:trPr>
          <w:tblHeader/>
          <w:cantSplit/>
        </w:trPr>
        <w:tc>
          <w:tcPr>
            <w:tcW w:type="dxa" w:w="2304"/>
            <w:shd w:fill="0F294A"/>
            <w:tcMar>
              <w:top w:w="120" w:type="dxa"/>
              <w:bottom w:w="120" w:type="dxa"/>
              <w:left w:w="140" w:type="dxa"/>
              <w:right w:w="140" w:type="dxa"/>
            </w:tcMar>
          </w:tcPr>
          <w:p>
            <w:pPr>
              <w:jc w:val="left"/>
            </w:pPr>
            <w:r>
              <w:rPr>
                <w:rFonts w:ascii="Calibri" w:hAnsi="Calibri"/>
                <w:b/>
                <w:color w:val="FFFFFF"/>
                <w:sz w:val="19"/>
              </w:rPr>
              <w:t>Testing Role</w:t>
            </w:r>
          </w:p>
        </w:tc>
        <w:tc>
          <w:tcPr>
            <w:tcW w:type="dxa" w:w="1872"/>
            <w:shd w:fill="0F294A"/>
            <w:tcMar>
              <w:top w:w="120" w:type="dxa"/>
              <w:bottom w:w="120" w:type="dxa"/>
              <w:left w:w="140" w:type="dxa"/>
              <w:right w:w="140" w:type="dxa"/>
            </w:tcMar>
          </w:tcPr>
          <w:p>
            <w:pPr>
              <w:jc w:val="left"/>
            </w:pPr>
            <w:r>
              <w:rPr>
                <w:rFonts w:ascii="Calibri" w:hAnsi="Calibri"/>
                <w:b/>
                <w:color w:val="FFFFFF"/>
                <w:sz w:val="19"/>
              </w:rPr>
              <w:t>Evaluator Name</w:t>
            </w:r>
          </w:p>
        </w:tc>
        <w:tc>
          <w:tcPr>
            <w:tcW w:type="dxa" w:w="2736"/>
            <w:shd w:fill="0F294A"/>
            <w:tcMar>
              <w:top w:w="120" w:type="dxa"/>
              <w:bottom w:w="120" w:type="dxa"/>
              <w:left w:w="140" w:type="dxa"/>
              <w:right w:w="140" w:type="dxa"/>
            </w:tcMar>
          </w:tcPr>
          <w:p>
            <w:pPr>
              <w:jc w:val="left"/>
            </w:pPr>
            <w:r>
              <w:rPr>
                <w:rFonts w:ascii="Calibri" w:hAnsi="Calibri"/>
                <w:b/>
                <w:color w:val="FFFFFF"/>
                <w:sz w:val="19"/>
              </w:rPr>
              <w:t>Evaluation Responsibility</w:t>
            </w:r>
          </w:p>
        </w:tc>
        <w:tc>
          <w:tcPr>
            <w:tcW w:type="dxa" w:w="1440"/>
            <w:shd w:fill="0F294A"/>
            <w:tcMar>
              <w:top w:w="120" w:type="dxa"/>
              <w:bottom w:w="120" w:type="dxa"/>
              <w:left w:w="140" w:type="dxa"/>
              <w:right w:w="140" w:type="dxa"/>
            </w:tcMar>
          </w:tcPr>
          <w:p>
            <w:pPr>
              <w:jc w:val="left"/>
            </w:pPr>
            <w:r>
              <w:rPr>
                <w:rFonts w:ascii="Calibri" w:hAnsi="Calibri"/>
                <w:b/>
                <w:color w:val="FFFFFF"/>
                <w:sz w:val="19"/>
              </w:rPr>
              <w:t>Sign-Off Date</w:t>
            </w:r>
          </w:p>
        </w:tc>
        <w:tc>
          <w:tcPr>
            <w:tcW w:type="dxa" w:w="1728"/>
            <w:shd w:fill="0F294A"/>
            <w:tcMar>
              <w:top w:w="120" w:type="dxa"/>
              <w:bottom w:w="120" w:type="dxa"/>
              <w:left w:w="140" w:type="dxa"/>
              <w:right w:w="140" w:type="dxa"/>
            </w:tcMar>
          </w:tcPr>
          <w:p>
            <w:pPr>
              <w:jc w:val="left"/>
            </w:pPr>
            <w:r>
              <w:rPr>
                <w:rFonts w:ascii="Calibri" w:hAnsi="Calibri"/>
                <w:b/>
                <w:color w:val="FFFFFF"/>
                <w:sz w:val="19"/>
              </w:rPr>
              <w:t>Quality Decision</w:t>
            </w:r>
          </w:p>
        </w:tc>
      </w:tr>
      <w:tr>
        <w:trPr>
          <w:cantSplit/>
        </w:trPr>
        <w:tc>
          <w:tcPr>
            <w:tcW w:type="dxa" w:w="2304"/>
            <w:shd w:fill="FFFFFF"/>
            <w:tcMar>
              <w:top w:w="80" w:type="dxa"/>
              <w:bottom w:w="80" w:type="dxa"/>
              <w:left w:w="120" w:type="dxa"/>
              <w:right w:w="120" w:type="dxa"/>
            </w:tcMar>
          </w:tcPr>
          <w:p>
            <w:pPr>
              <w:spacing w:line="252" w:lineRule="auto"/>
            </w:pPr>
            <w:r>
              <w:rPr>
                <w:rFonts w:ascii="Calibri" w:hAnsi="Calibri"/>
                <w:b/>
                <w:color w:val="172B4D"/>
                <w:sz w:val="17"/>
              </w:rPr>
              <w:t>Lead QA Automation Engineer</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Shahriar Mahir</w:t>
            </w:r>
          </w:p>
        </w:tc>
        <w:tc>
          <w:tcPr>
            <w:tcW w:type="dxa" w:w="2736"/>
            <w:shd w:fill="FFFFFF"/>
            <w:tcMar>
              <w:top w:w="80" w:type="dxa"/>
              <w:bottom w:w="80" w:type="dxa"/>
              <w:left w:w="120" w:type="dxa"/>
              <w:right w:w="120" w:type="dxa"/>
            </w:tcMar>
          </w:tcPr>
          <w:p>
            <w:pPr>
              <w:spacing w:line="252" w:lineRule="auto"/>
            </w:pPr>
            <w:r>
              <w:rPr>
                <w:rFonts w:ascii="Calibri" w:hAnsi="Calibri"/>
                <w:color w:val="172B4D"/>
                <w:sz w:val="17"/>
              </w:rPr>
              <w:t>Unit &amp; Integration Test Suite Verification</w:t>
            </w:r>
          </w:p>
        </w:tc>
        <w:tc>
          <w:tcPr>
            <w:tcW w:type="dxa" w:w="1440"/>
            <w:shd w:fill="FFFFFF"/>
            <w:tcMar>
              <w:top w:w="80" w:type="dxa"/>
              <w:bottom w:w="80" w:type="dxa"/>
              <w:left w:w="120" w:type="dxa"/>
              <w:right w:w="120" w:type="dxa"/>
            </w:tcMar>
          </w:tcPr>
          <w:p>
            <w:pPr>
              <w:spacing w:line="252" w:lineRule="auto"/>
            </w:pPr>
            <w:r>
              <w:rPr>
                <w:rFonts w:ascii="Calibri" w:hAnsi="Calibri"/>
                <w:color w:val="172B4D"/>
                <w:sz w:val="17"/>
              </w:rPr>
              <w:t>2026-09-12</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APPROVED</w:t>
            </w:r>
          </w:p>
        </w:tc>
      </w:tr>
      <w:tr>
        <w:trPr>
          <w:cantSplit/>
        </w:trPr>
        <w:tc>
          <w:tcPr>
            <w:tcW w:type="dxa" w:w="2304"/>
            <w:shd w:fill="F8FAFC"/>
            <w:tcMar>
              <w:top w:w="80" w:type="dxa"/>
              <w:bottom w:w="80" w:type="dxa"/>
              <w:left w:w="120" w:type="dxa"/>
              <w:right w:w="120" w:type="dxa"/>
            </w:tcMar>
          </w:tcPr>
          <w:p>
            <w:pPr>
              <w:spacing w:line="252" w:lineRule="auto"/>
            </w:pPr>
            <w:r>
              <w:rPr>
                <w:rFonts w:ascii="Calibri" w:hAnsi="Calibri"/>
                <w:b/>
                <w:color w:val="172B4D"/>
                <w:sz w:val="17"/>
              </w:rPr>
              <w:t>Systems Analyst &amp; Architecture</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MD Jaliz Mahamud Mridul</w:t>
            </w:r>
          </w:p>
        </w:tc>
        <w:tc>
          <w:tcPr>
            <w:tcW w:type="dxa" w:w="2736"/>
            <w:shd w:fill="F8FAFC"/>
            <w:tcMar>
              <w:top w:w="80" w:type="dxa"/>
              <w:bottom w:w="80" w:type="dxa"/>
              <w:left w:w="120" w:type="dxa"/>
              <w:right w:w="120" w:type="dxa"/>
            </w:tcMar>
          </w:tcPr>
          <w:p>
            <w:pPr>
              <w:spacing w:line="252" w:lineRule="auto"/>
            </w:pPr>
            <w:r>
              <w:rPr>
                <w:rFonts w:ascii="Calibri" w:hAnsi="Calibri"/>
                <w:color w:val="172B4D"/>
                <w:sz w:val="17"/>
              </w:rPr>
              <w:t>3-Tier RBAC &amp; Workflow Governance</w:t>
            </w:r>
          </w:p>
        </w:tc>
        <w:tc>
          <w:tcPr>
            <w:tcW w:type="dxa" w:w="1440"/>
            <w:shd w:fill="F8FAFC"/>
            <w:tcMar>
              <w:top w:w="80" w:type="dxa"/>
              <w:bottom w:w="80" w:type="dxa"/>
              <w:left w:w="120" w:type="dxa"/>
              <w:right w:w="120" w:type="dxa"/>
            </w:tcMar>
          </w:tcPr>
          <w:p>
            <w:pPr>
              <w:spacing w:line="252" w:lineRule="auto"/>
            </w:pPr>
            <w:r>
              <w:rPr>
                <w:rFonts w:ascii="Calibri" w:hAnsi="Calibri"/>
                <w:color w:val="172B4D"/>
                <w:sz w:val="17"/>
              </w:rPr>
              <w:t>2026-09-12</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APPROVED</w:t>
            </w:r>
          </w:p>
        </w:tc>
      </w:tr>
      <w:tr>
        <w:trPr>
          <w:cantSplit/>
        </w:trPr>
        <w:tc>
          <w:tcPr>
            <w:tcW w:type="dxa" w:w="2304"/>
            <w:shd w:fill="FFFFFF"/>
            <w:tcMar>
              <w:top w:w="80" w:type="dxa"/>
              <w:bottom w:w="80" w:type="dxa"/>
              <w:left w:w="120" w:type="dxa"/>
              <w:right w:w="120" w:type="dxa"/>
            </w:tcMar>
          </w:tcPr>
          <w:p>
            <w:pPr>
              <w:spacing w:line="252" w:lineRule="auto"/>
            </w:pPr>
            <w:r>
              <w:rPr>
                <w:rFonts w:ascii="Calibri" w:hAnsi="Calibri"/>
                <w:b/>
                <w:color w:val="172B4D"/>
                <w:sz w:val="17"/>
              </w:rPr>
              <w:t>Security &amp; Compliance Auditor</w:t>
            </w:r>
          </w:p>
        </w:tc>
        <w:tc>
          <w:tcPr>
            <w:tcW w:type="dxa" w:w="1872"/>
            <w:shd w:fill="FFFFFF"/>
            <w:tcMar>
              <w:top w:w="80" w:type="dxa"/>
              <w:bottom w:w="80" w:type="dxa"/>
              <w:left w:w="120" w:type="dxa"/>
              <w:right w:w="120" w:type="dxa"/>
            </w:tcMar>
          </w:tcPr>
          <w:p>
            <w:pPr>
              <w:spacing w:line="252" w:lineRule="auto"/>
            </w:pPr>
            <w:r>
              <w:rPr>
                <w:rFonts w:ascii="Calibri" w:hAnsi="Calibri"/>
                <w:color w:val="172B4D"/>
                <w:sz w:val="17"/>
              </w:rPr>
              <w:t>Md. Fahim Imam</w:t>
            </w:r>
          </w:p>
        </w:tc>
        <w:tc>
          <w:tcPr>
            <w:tcW w:type="dxa" w:w="2736"/>
            <w:shd w:fill="FFFFFF"/>
            <w:tcMar>
              <w:top w:w="80" w:type="dxa"/>
              <w:bottom w:w="80" w:type="dxa"/>
              <w:left w:w="120" w:type="dxa"/>
              <w:right w:w="120" w:type="dxa"/>
            </w:tcMar>
          </w:tcPr>
          <w:p>
            <w:pPr>
              <w:spacing w:line="252" w:lineRule="auto"/>
            </w:pPr>
            <w:r>
              <w:rPr>
                <w:rFonts w:ascii="Calibri" w:hAnsi="Calibri"/>
                <w:color w:val="172B4D"/>
                <w:sz w:val="17"/>
              </w:rPr>
              <w:t>Cryptographic Verification &amp; Data Integrity</w:t>
            </w:r>
          </w:p>
        </w:tc>
        <w:tc>
          <w:tcPr>
            <w:tcW w:type="dxa" w:w="1440"/>
            <w:shd w:fill="FFFFFF"/>
            <w:tcMar>
              <w:top w:w="80" w:type="dxa"/>
              <w:bottom w:w="80" w:type="dxa"/>
              <w:left w:w="120" w:type="dxa"/>
              <w:right w:w="120" w:type="dxa"/>
            </w:tcMar>
          </w:tcPr>
          <w:p>
            <w:pPr>
              <w:spacing w:line="252" w:lineRule="auto"/>
            </w:pPr>
            <w:r>
              <w:rPr>
                <w:rFonts w:ascii="Calibri" w:hAnsi="Calibri"/>
                <w:color w:val="172B4D"/>
                <w:sz w:val="17"/>
              </w:rPr>
              <w:t>2026-09-12</w:t>
            </w:r>
          </w:p>
        </w:tc>
        <w:tc>
          <w:tcPr>
            <w:tcW w:type="dxa" w:w="1728"/>
            <w:shd w:fill="FFFFFF"/>
            <w:tcMar>
              <w:top w:w="80" w:type="dxa"/>
              <w:bottom w:w="80" w:type="dxa"/>
              <w:left w:w="120" w:type="dxa"/>
              <w:right w:w="120" w:type="dxa"/>
            </w:tcMar>
          </w:tcPr>
          <w:p>
            <w:pPr>
              <w:spacing w:line="252" w:lineRule="auto"/>
            </w:pPr>
            <w:r>
              <w:rPr>
                <w:rFonts w:ascii="Calibri" w:hAnsi="Calibri"/>
                <w:color w:val="172B4D"/>
                <w:sz w:val="17"/>
              </w:rPr>
              <w:t>APPROVED</w:t>
            </w:r>
          </w:p>
        </w:tc>
      </w:tr>
      <w:tr>
        <w:trPr>
          <w:cantSplit/>
        </w:trPr>
        <w:tc>
          <w:tcPr>
            <w:tcW w:type="dxa" w:w="2304"/>
            <w:shd w:fill="F8FAFC"/>
            <w:tcMar>
              <w:top w:w="80" w:type="dxa"/>
              <w:bottom w:w="80" w:type="dxa"/>
              <w:left w:w="120" w:type="dxa"/>
              <w:right w:w="120" w:type="dxa"/>
            </w:tcMar>
          </w:tcPr>
          <w:p>
            <w:pPr>
              <w:spacing w:line="252" w:lineRule="auto"/>
            </w:pPr>
            <w:r>
              <w:rPr>
                <w:rFonts w:ascii="Calibri" w:hAnsi="Calibri"/>
                <w:b/>
                <w:color w:val="172B4D"/>
                <w:sz w:val="17"/>
              </w:rPr>
              <w:t>Course Laboratory Instructor</w:t>
            </w:r>
          </w:p>
        </w:tc>
        <w:tc>
          <w:tcPr>
            <w:tcW w:type="dxa" w:w="1872"/>
            <w:shd w:fill="F8FAFC"/>
            <w:tcMar>
              <w:top w:w="80" w:type="dxa"/>
              <w:bottom w:w="80" w:type="dxa"/>
              <w:left w:w="120" w:type="dxa"/>
              <w:right w:w="120" w:type="dxa"/>
            </w:tcMar>
          </w:tcPr>
          <w:p>
            <w:pPr>
              <w:spacing w:line="252" w:lineRule="auto"/>
            </w:pPr>
            <w:r>
              <w:rPr>
                <w:rFonts w:ascii="Calibri" w:hAnsi="Calibri"/>
                <w:color w:val="172B4D"/>
                <w:sz w:val="17"/>
              </w:rPr>
              <w:t>CSE 3224 Faculty Evaluator</w:t>
            </w:r>
          </w:p>
        </w:tc>
        <w:tc>
          <w:tcPr>
            <w:tcW w:type="dxa" w:w="2736"/>
            <w:shd w:fill="F8FAFC"/>
            <w:tcMar>
              <w:top w:w="80" w:type="dxa"/>
              <w:bottom w:w="80" w:type="dxa"/>
              <w:left w:w="120" w:type="dxa"/>
              <w:right w:w="120" w:type="dxa"/>
            </w:tcMar>
          </w:tcPr>
          <w:p>
            <w:pPr>
              <w:spacing w:line="252" w:lineRule="auto"/>
            </w:pPr>
            <w:r>
              <w:rPr>
                <w:rFonts w:ascii="Calibri" w:hAnsi="Calibri"/>
                <w:color w:val="172B4D"/>
                <w:sz w:val="17"/>
              </w:rPr>
              <w:t>Final SDLC Checkpoint Inspection</w:t>
            </w:r>
          </w:p>
        </w:tc>
        <w:tc>
          <w:tcPr>
            <w:tcW w:type="dxa" w:w="1440"/>
            <w:shd w:fill="F8FAFC"/>
            <w:tcMar>
              <w:top w:w="80" w:type="dxa"/>
              <w:bottom w:w="80" w:type="dxa"/>
              <w:left w:w="120" w:type="dxa"/>
              <w:right w:w="120" w:type="dxa"/>
            </w:tcMar>
          </w:tcPr>
          <w:p>
            <w:pPr>
              <w:spacing w:line="252" w:lineRule="auto"/>
            </w:pPr>
            <w:r>
              <w:rPr>
                <w:rFonts w:ascii="Calibri" w:hAnsi="Calibri"/>
                <w:color w:val="172B4D"/>
                <w:sz w:val="17"/>
              </w:rPr>
              <w:t>Pending Review</w:t>
            </w:r>
          </w:p>
        </w:tc>
        <w:tc>
          <w:tcPr>
            <w:tcW w:type="dxa" w:w="1728"/>
            <w:shd w:fill="F8FAFC"/>
            <w:tcMar>
              <w:top w:w="80" w:type="dxa"/>
              <w:bottom w:w="80" w:type="dxa"/>
              <w:left w:w="120" w:type="dxa"/>
              <w:right w:w="120" w:type="dxa"/>
            </w:tcMar>
          </w:tcPr>
          <w:p>
            <w:pPr>
              <w:spacing w:line="252" w:lineRule="auto"/>
            </w:pPr>
            <w:r>
              <w:rPr>
                <w:rFonts w:ascii="Calibri" w:hAnsi="Calibri"/>
                <w:color w:val="172B4D"/>
                <w:sz w:val="17"/>
              </w:rPr>
              <w:t>SUBMITTED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