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5E1A8A"/>
          <w:sz w:val="40"/>
          <w:szCs w:val="40"/>
        </w:rPr>
        <w:t xml:space="preserve">MW JOYERÍA</w:t>
      </w:r>
    </w:p>
    <w:p>
      <w:pPr>
        <w:spacing w:after="60"/>
      </w:pPr>
      <w:r>
        <w:rPr>
          <w:i/>
          <w:iCs/>
          <w:sz w:val="24"/>
          <w:szCs w:val="24"/>
        </w:rPr>
        <w:t xml:space="preserve">Documento de Análisis y Requisitos — Sitio Web y Sistema Interno</w:t>
      </w:r>
    </w:p>
    <w:p>
      <w:pPr>
        <w:spacing w:after="60"/>
      </w:pPr>
      <w:r>
        <w:rPr>
          <w:color w:val="555555"/>
          <w:sz w:val="20"/>
          <w:szCs w:val="20"/>
        </w:rPr>
        <w:t xml:space="preserve">Versión 8 — Cuentas (edición, altas, recuperación de acceso), relación con Aronium, notificaciones y aclaraciones de rol confirmadas por la señora</w:t>
      </w:r>
    </w:p>
    <w:p>
      <w:pPr>
        <w:spacing w:after="60"/>
      </w:pPr>
      <w:r>
        <w:rPr>
          <w:b/>
          <w:bCs/>
          <w:color w:val="1A6A2E"/>
          <w:sz w:val="22"/>
          <w:szCs w:val="22"/>
        </w:rPr>
        <w:t xml:space="preserve">Fase 1 de la metodología: Análisis y Requisitos — CERRADA</w:t>
      </w:r>
    </w:p>
    <w:p>
      <w:pPr>
        <w:spacing w:after="300"/>
      </w:pPr>
      <w:r>
        <w:rPr>
          <w:i/>
          <w:iCs/>
          <w:color w:val="555555"/>
          <w:sz w:val="18"/>
          <w:szCs w:val="18"/>
        </w:rPr>
        <w:t xml:space="preserve">Único punto que se define hasta Fase 4: criterios de aceptación / "terminado" por función (ver Sección 17).</w:t>
      </w:r>
    </w:p>
    <w:p>
      <w:pPr>
        <w:pStyle w:val="Heading1"/>
        <w:spacing w:after="200" w:before="400"/>
      </w:pPr>
      <w:r>
        <w:t xml:space="preserve">1. Objetivo del proyecto</w:t>
      </w:r>
    </w:p>
    <w:p>
      <w:pPr>
        <w:spacing w:after="120"/>
      </w:pPr>
      <w:r>
        <w:t xml:space="preserve">Reemplazar el sitio actual en Wix (www.mwjoyeriayaccesorios.com) por un sitio construido a la medida, manteniendo el mismo dominio. El nuevo sistema no será solo informativo: incluirá un catálogo público de vitrina y un portal privado con distintos niveles de acceso para operar el negocio (catálogo de mayoreo, apartados, equipos de venta, comisiones, plan de compensación, lista de deseos y calendario de actividades).</w:t>
      </w:r>
    </w:p>
    <w:p>
      <w:pPr>
        <w:pStyle w:val="Heading1"/>
        <w:spacing w:after="200" w:before="400"/>
      </w:pPr>
      <w:r>
        <w:t xml:space="preserve">2. Componentes del sistema</w:t>
      </w:r>
    </w:p>
    <w:p>
      <w:pPr>
        <w:pStyle w:val="Heading2"/>
        <w:spacing w:after="150" w:before="300"/>
      </w:pPr>
      <w:r>
        <w:t xml:space="preserve">2.1 Sitio público (sin cuenta)</w:t>
      </w:r>
    </w:p>
    <w:p>
      <w:pPr>
        <w:pStyle w:val="ListParagraph"/>
        <w:numPr>
          <w:ilvl w:val="0"/>
          <w:numId w:val="1"/>
        </w:numPr>
        <w:spacing w:after="80"/>
      </w:pPr>
      <w:r>
        <w:t xml:space="preserve">Contenido de marca: historia, colecciones, contacto — basado en el sitio actual.</w:t>
      </w:r>
    </w:p>
    <w:p>
      <w:pPr>
        <w:pStyle w:val="ListParagraph"/>
        <w:numPr>
          <w:ilvl w:val="0"/>
          <w:numId w:val="1"/>
        </w:numPr>
        <w:spacing w:after="80"/>
      </w:pPr>
      <w:r>
        <w:t xml:space="preserve">Dentro de la página de Contacto: formulario simple "Quiero unirme" para que personas interesadas en ser emprendedoras dejen sus datos — llega a Staff/Administrativo para darle seguimiento (no es auto-registro de cuenta, ver Sección 19.3).</w:t>
      </w:r>
    </w:p>
    <w:p>
      <w:pPr>
        <w:pStyle w:val="ListParagraph"/>
        <w:numPr>
          <w:ilvl w:val="0"/>
          <w:numId w:val="1"/>
        </w:numPr>
        <w:spacing w:after="80"/>
      </w:pPr>
      <w:r>
        <w:t xml:space="preserve">Catálogo de vitrina con precio etiqueta (precio al público).</w:t>
      </w:r>
    </w:p>
    <w:p>
      <w:pPr>
        <w:pStyle w:val="ListParagraph"/>
        <w:numPr>
          <w:ilvl w:val="0"/>
          <w:numId w:val="1"/>
        </w:numPr>
        <w:spacing w:after="80"/>
      </w:pPr>
      <w:r>
        <w:t xml:space="preserve">"Ventajas del Plan MW": página pública explicando la estructura del plan de comisiones, descuentos y recompensas (ver Sección 8.3).</w:t>
      </w:r>
    </w:p>
    <w:p>
      <w:pPr>
        <w:pStyle w:val="ListParagraph"/>
        <w:numPr>
          <w:ilvl w:val="0"/>
          <w:numId w:val="1"/>
        </w:numPr>
        <w:spacing w:after="80"/>
      </w:pPr>
      <w:r>
        <w:t xml:space="preserve">El público NO puede apartar ninguna pieza, ni desde el sitio ni por WhatsApp. Solo puede ver.</w:t>
      </w:r>
    </w:p>
    <w:p>
      <w:pPr>
        <w:pStyle w:val="Heading2"/>
        <w:spacing w:after="150" w:before="300"/>
      </w:pPr>
      <w:r>
        <w:t xml:space="preserve">2.2 Portal privado (con cuenta — login)</w:t>
      </w:r>
    </w:p>
    <w:p>
      <w:pPr>
        <w:pStyle w:val="ListParagraph"/>
        <w:numPr>
          <w:ilvl w:val="0"/>
          <w:numId w:val="1"/>
        </w:numPr>
        <w:spacing w:after="80"/>
      </w:pPr>
      <w:r>
        <w:t xml:space="preserve">Catálogo de mayoreo con apartado de piezas.</w:t>
      </w:r>
    </w:p>
    <w:p>
      <w:pPr>
        <w:pStyle w:val="ListParagraph"/>
        <w:numPr>
          <w:ilvl w:val="0"/>
          <w:numId w:val="1"/>
        </w:numPr>
        <w:spacing w:after="80"/>
      </w:pPr>
      <w:r>
        <w:t xml:space="preserve">Calendario de actividades.</w:t>
      </w:r>
    </w:p>
    <w:p>
      <w:pPr>
        <w:pStyle w:val="ListParagraph"/>
        <w:numPr>
          <w:ilvl w:val="0"/>
          <w:numId w:val="1"/>
        </w:numPr>
        <w:spacing w:after="80"/>
      </w:pPr>
      <w:r>
        <w:t xml:space="preserve">Lista de deseos de emprendedoras.</w:t>
      </w:r>
    </w:p>
    <w:p>
      <w:pPr>
        <w:pStyle w:val="ListParagraph"/>
        <w:numPr>
          <w:ilvl w:val="0"/>
          <w:numId w:val="1"/>
        </w:numPr>
        <w:spacing w:after="80"/>
      </w:pPr>
      <w:r>
        <w:t xml:space="preserve">Paneles distintos según el rol del usuario (ver Sección 3).</w:t>
      </w:r>
    </w:p>
    <w:p>
      <w:pPr>
        <w:pStyle w:val="Heading1"/>
        <w:spacing w:after="200" w:before="400"/>
      </w:pPr>
      <w:r>
        <w:t xml:space="preserve">3. Roles de usuario y permisos</w:t>
      </w:r>
    </w:p>
    <w:tbl>
      <w:tblPr>
        <w:tblW w:type="dxa" w:w="10250"/>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1300"/>
        <w:gridCol w:w="2100"/>
        <w:gridCol w:w="1700"/>
        <w:gridCol w:w="1800"/>
      </w:tblGrid>
      <w:tr>
        <w:trPr>
          <w:cantSplit/>
        </w:trPr>
        <w:tc>
          <w:tcPr>
            <w:tcW w:type="dxa" w:w="1450"/>
            <w:shd w:fill="5E1A8A" w:val="clear"/>
            <w:tcMar>
              <w:top w:type="dxa" w:w="80"/>
              <w:left w:type="dxa" w:w="100"/>
              <w:bottom w:type="dxa" w:w="80"/>
              <w:right w:type="dxa" w:w="100"/>
            </w:tcMar>
            <w:vAlign w:val="center"/>
          </w:tcPr>
          <w:p>
            <w:pPr>
              <w:jc w:val="center"/>
            </w:pPr>
            <w:r>
              <w:rPr>
                <w:b/>
                <w:bCs/>
                <w:color w:val="FFFFFF"/>
                <w:sz w:val="20"/>
                <w:szCs w:val="20"/>
              </w:rPr>
              <w:t xml:space="preserve">Rol</w:t>
            </w:r>
          </w:p>
        </w:tc>
        <w:tc>
          <w:tcPr>
            <w:tcW w:type="dxa" w:w="1900"/>
            <w:shd w:fill="5E1A8A" w:val="clear"/>
            <w:tcMar>
              <w:top w:type="dxa" w:w="80"/>
              <w:left w:type="dxa" w:w="100"/>
              <w:bottom w:type="dxa" w:w="80"/>
              <w:right w:type="dxa" w:w="100"/>
            </w:tcMar>
            <w:vAlign w:val="center"/>
          </w:tcPr>
          <w:p>
            <w:pPr>
              <w:jc w:val="center"/>
            </w:pPr>
            <w:r>
              <w:rPr>
                <w:b/>
                <w:bCs/>
                <w:color w:val="FFFFFF"/>
                <w:sz w:val="20"/>
                <w:szCs w:val="20"/>
              </w:rPr>
              <w:t xml:space="preserve">Ve catálogo y aparta</w:t>
            </w:r>
          </w:p>
        </w:tc>
        <w:tc>
          <w:tcPr>
            <w:tcW w:type="dxa" w:w="1300"/>
            <w:shd w:fill="5E1A8A" w:val="clear"/>
            <w:tcMar>
              <w:top w:type="dxa" w:w="80"/>
              <w:left w:type="dxa" w:w="100"/>
              <w:bottom w:type="dxa" w:w="80"/>
              <w:right w:type="dxa" w:w="100"/>
            </w:tcMar>
            <w:vAlign w:val="center"/>
          </w:tcPr>
          <w:p>
            <w:pPr>
              <w:jc w:val="center"/>
            </w:pPr>
            <w:r>
              <w:rPr>
                <w:b/>
                <w:bCs/>
                <w:color w:val="FFFFFF"/>
                <w:sz w:val="20"/>
                <w:szCs w:val="20"/>
              </w:rPr>
              <w:t xml:space="preserve">Calendario</w:t>
            </w:r>
          </w:p>
        </w:tc>
        <w:tc>
          <w:tcPr>
            <w:tcW w:type="dxa" w:w="2100"/>
            <w:shd w:fill="5E1A8A" w:val="clear"/>
            <w:tcMar>
              <w:top w:type="dxa" w:w="80"/>
              <w:left w:type="dxa" w:w="100"/>
              <w:bottom w:type="dxa" w:w="80"/>
              <w:right w:type="dxa" w:w="100"/>
            </w:tcMar>
            <w:vAlign w:val="center"/>
          </w:tcPr>
          <w:p>
            <w:pPr>
              <w:jc w:val="center"/>
            </w:pPr>
            <w:r>
              <w:rPr>
                <w:b/>
                <w:bCs/>
                <w:color w:val="FFFFFF"/>
                <w:sz w:val="20"/>
                <w:szCs w:val="20"/>
              </w:rPr>
              <w:t xml:space="preserve">Ve equipo / comisiones</w:t>
            </w:r>
          </w:p>
        </w:tc>
        <w:tc>
          <w:tcPr>
            <w:tcW w:type="dxa" w:w="1700"/>
            <w:shd w:fill="5E1A8A" w:val="clear"/>
            <w:tcMar>
              <w:top w:type="dxa" w:w="80"/>
              <w:left w:type="dxa" w:w="100"/>
              <w:bottom w:type="dxa" w:w="80"/>
              <w:right w:type="dxa" w:w="100"/>
            </w:tcMar>
            <w:vAlign w:val="center"/>
          </w:tcPr>
          <w:p>
            <w:pPr>
              <w:jc w:val="center"/>
            </w:pPr>
            <w:r>
              <w:rPr>
                <w:b/>
                <w:bCs/>
                <w:color w:val="FFFFFF"/>
                <w:sz w:val="20"/>
                <w:szCs w:val="20"/>
              </w:rPr>
              <w:t xml:space="preserve">Nómina</w:t>
            </w:r>
          </w:p>
        </w:tc>
        <w:tc>
          <w:tcPr>
            <w:tcW w:type="dxa" w:w="1800"/>
            <w:shd w:fill="5E1A8A" w:val="clear"/>
            <w:tcMar>
              <w:top w:type="dxa" w:w="80"/>
              <w:left w:type="dxa" w:w="100"/>
              <w:bottom w:type="dxa" w:w="80"/>
              <w:right w:type="dxa" w:w="100"/>
            </w:tcMar>
            <w:vAlign w:val="center"/>
          </w:tcPr>
          <w:p>
            <w:pPr>
              <w:jc w:val="center"/>
            </w:pPr>
            <w:r>
              <w:rPr>
                <w:b/>
                <w:bCs/>
                <w:color w:val="FFFFFF"/>
                <w:sz w:val="20"/>
                <w:szCs w:val="20"/>
              </w:rPr>
              <w:t xml:space="preserve">Administra</w:t>
            </w:r>
          </w:p>
        </w:tc>
      </w:tr>
      <w:tr>
        <w:trPr>
          <w:cantSplit/>
        </w:trPr>
        <w:tc>
          <w:tcPr>
            <w:tcW w:type="dxa" w:w="1450"/>
            <w:tcMar>
              <w:top w:type="dxa" w:w="80"/>
              <w:left w:type="dxa" w:w="100"/>
              <w:bottom w:type="dxa" w:w="80"/>
              <w:right w:type="dxa" w:w="100"/>
            </w:tcMar>
            <w:vAlign w:val="center"/>
          </w:tcPr>
          <w:p>
            <w:pPr>
              <w:jc w:val="center"/>
            </w:pPr>
            <w:r>
              <w:rPr>
                <w:b w:val="false"/>
                <w:bCs w:val="false"/>
                <w:color w:val="000000"/>
                <w:sz w:val="20"/>
                <w:szCs w:val="20"/>
              </w:rPr>
              <w:t xml:space="preserve">Emprendedora</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Sí (precio con descuento propio)</w:t>
            </w:r>
          </w:p>
        </w:tc>
        <w:tc>
          <w:tcPr>
            <w:tcW w:type="dxa" w:w="1300"/>
            <w:tcMar>
              <w:top w:type="dxa" w:w="80"/>
              <w:left w:type="dxa" w:w="100"/>
              <w:bottom w:type="dxa" w:w="80"/>
              <w:right w:type="dxa" w:w="100"/>
            </w:tcMar>
            <w:vAlign w:val="center"/>
          </w:tcPr>
          <w:p>
            <w:pPr>
              <w:jc w:val="center"/>
            </w:pPr>
            <w:r>
              <w:rPr>
                <w:b w:val="false"/>
                <w:bCs w:val="false"/>
                <w:color w:val="000000"/>
                <w:sz w:val="20"/>
                <w:szCs w:val="20"/>
              </w:rPr>
              <w:t xml:space="preserve">Sí</w:t>
            </w:r>
          </w:p>
        </w:tc>
        <w:tc>
          <w:tcPr>
            <w:tcW w:type="dxa" w:w="2100"/>
            <w:tcMar>
              <w:top w:type="dxa" w:w="80"/>
              <w:left w:type="dxa" w:w="100"/>
              <w:bottom w:type="dxa" w:w="80"/>
              <w:right w:type="dxa" w:w="100"/>
            </w:tcMar>
            <w:vAlign w:val="center"/>
          </w:tcPr>
          <w:p>
            <w:pPr>
              <w:jc w:val="center"/>
            </w:pPr>
            <w:r>
              <w:rPr>
                <w:b w:val="false"/>
                <w:bCs w:val="false"/>
                <w:color w:val="000000"/>
                <w:sz w:val="20"/>
                <w:szCs w:val="20"/>
              </w:rPr>
              <w:t xml:space="preserve">Solo nombre de su líder</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w:t>
            </w:r>
          </w:p>
        </w:tc>
      </w:tr>
      <w:tr>
        <w:trPr>
          <w:cantSplit/>
        </w:trPr>
        <w:tc>
          <w:tcPr>
            <w:tcW w:type="dxa" w:w="1450"/>
            <w:tcMar>
              <w:top w:type="dxa" w:w="80"/>
              <w:left w:type="dxa" w:w="100"/>
              <w:bottom w:type="dxa" w:w="80"/>
              <w:right w:type="dxa" w:w="100"/>
            </w:tcMar>
            <w:vAlign w:val="center"/>
          </w:tcPr>
          <w:p>
            <w:pPr>
              <w:jc w:val="center"/>
            </w:pPr>
            <w:r>
              <w:rPr>
                <w:b w:val="false"/>
                <w:bCs w:val="false"/>
                <w:color w:val="000000"/>
                <w:sz w:val="20"/>
                <w:szCs w:val="20"/>
              </w:rPr>
              <w:t xml:space="preserve">Líder</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Sí</w:t>
            </w:r>
          </w:p>
        </w:tc>
        <w:tc>
          <w:tcPr>
            <w:tcW w:type="dxa" w:w="1300"/>
            <w:tcMar>
              <w:top w:type="dxa" w:w="80"/>
              <w:left w:type="dxa" w:w="100"/>
              <w:bottom w:type="dxa" w:w="80"/>
              <w:right w:type="dxa" w:w="100"/>
            </w:tcMar>
            <w:vAlign w:val="center"/>
          </w:tcPr>
          <w:p>
            <w:pPr>
              <w:jc w:val="center"/>
            </w:pPr>
            <w:r>
              <w:rPr>
                <w:b w:val="false"/>
                <w:bCs w:val="false"/>
                <w:color w:val="000000"/>
                <w:sz w:val="20"/>
                <w:szCs w:val="20"/>
              </w:rPr>
              <w:t xml:space="preserve">Sí</w:t>
            </w:r>
          </w:p>
        </w:tc>
        <w:tc>
          <w:tcPr>
            <w:tcW w:type="dxa" w:w="2100"/>
            <w:tcMar>
              <w:top w:type="dxa" w:w="80"/>
              <w:left w:type="dxa" w:w="100"/>
              <w:bottom w:type="dxa" w:w="80"/>
              <w:right w:type="dxa" w:w="100"/>
            </w:tcMar>
            <w:vAlign w:val="center"/>
          </w:tcPr>
          <w:p>
            <w:pPr>
              <w:jc w:val="center"/>
            </w:pPr>
            <w:r>
              <w:rPr>
                <w:b w:val="false"/>
                <w:bCs w:val="false"/>
                <w:color w:val="000000"/>
                <w:sz w:val="20"/>
                <w:szCs w:val="20"/>
              </w:rPr>
              <w:t xml:space="preserve">Sí: su equipo, compras y comisiones</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w:t>
            </w:r>
          </w:p>
        </w:tc>
      </w:tr>
      <w:tr>
        <w:trPr>
          <w:cantSplit/>
        </w:trPr>
        <w:tc>
          <w:tcPr>
            <w:tcW w:type="dxa" w:w="1450"/>
            <w:tcMar>
              <w:top w:type="dxa" w:w="80"/>
              <w:left w:type="dxa" w:w="100"/>
              <w:bottom w:type="dxa" w:w="80"/>
              <w:right w:type="dxa" w:w="100"/>
            </w:tcMar>
            <w:vAlign w:val="center"/>
          </w:tcPr>
          <w:p>
            <w:pPr>
              <w:jc w:val="center"/>
            </w:pPr>
            <w:r>
              <w:rPr>
                <w:b w:val="false"/>
                <w:bCs w:val="false"/>
                <w:color w:val="000000"/>
                <w:sz w:val="20"/>
                <w:szCs w:val="20"/>
              </w:rPr>
              <w:t xml:space="preserve">Staff</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Sí</w:t>
            </w:r>
          </w:p>
        </w:tc>
        <w:tc>
          <w:tcPr>
            <w:tcW w:type="dxa" w:w="1300"/>
            <w:tcMar>
              <w:top w:type="dxa" w:w="80"/>
              <w:left w:type="dxa" w:w="100"/>
              <w:bottom w:type="dxa" w:w="80"/>
              <w:right w:type="dxa" w:w="100"/>
            </w:tcMar>
            <w:vAlign w:val="center"/>
          </w:tcPr>
          <w:p>
            <w:pPr>
              <w:jc w:val="center"/>
            </w:pPr>
            <w:r>
              <w:rPr>
                <w:b w:val="false"/>
                <w:bCs w:val="false"/>
                <w:color w:val="000000"/>
                <w:sz w:val="20"/>
                <w:szCs w:val="20"/>
              </w:rPr>
              <w:t xml:space="preserve">Sí</w:t>
            </w:r>
          </w:p>
        </w:tc>
        <w:tc>
          <w:tcPr>
            <w:tcW w:type="dxa" w:w="210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Solo su propio recibo (nombre + contraseña)</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Catálogo, apartados, calendario, lista de deseos</w:t>
            </w:r>
          </w:p>
        </w:tc>
      </w:tr>
      <w:tr>
        <w:trPr>
          <w:cantSplit/>
        </w:trPr>
        <w:tc>
          <w:tcPr>
            <w:tcW w:type="dxa" w:w="1450"/>
            <w:tcMar>
              <w:top w:type="dxa" w:w="80"/>
              <w:left w:type="dxa" w:w="100"/>
              <w:bottom w:type="dxa" w:w="80"/>
              <w:right w:type="dxa" w:w="100"/>
            </w:tcMar>
            <w:vAlign w:val="center"/>
          </w:tcPr>
          <w:p>
            <w:pPr>
              <w:jc w:val="center"/>
            </w:pPr>
            <w:r>
              <w:rPr>
                <w:b w:val="false"/>
                <w:bCs w:val="false"/>
                <w:color w:val="000000"/>
                <w:sz w:val="20"/>
                <w:szCs w:val="20"/>
              </w:rPr>
              <w:t xml:space="preserve">RH</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Sí</w:t>
            </w:r>
          </w:p>
        </w:tc>
        <w:tc>
          <w:tcPr>
            <w:tcW w:type="dxa" w:w="1300"/>
            <w:tcMar>
              <w:top w:type="dxa" w:w="80"/>
              <w:left w:type="dxa" w:w="100"/>
              <w:bottom w:type="dxa" w:w="80"/>
              <w:right w:type="dxa" w:w="100"/>
            </w:tcMar>
            <w:vAlign w:val="center"/>
          </w:tcPr>
          <w:p>
            <w:pPr>
              <w:jc w:val="center"/>
            </w:pPr>
            <w:r>
              <w:rPr>
                <w:b w:val="false"/>
                <w:bCs w:val="false"/>
                <w:color w:val="000000"/>
                <w:sz w:val="20"/>
                <w:szCs w:val="20"/>
              </w:rPr>
              <w:t xml:space="preserve">Sí</w:t>
            </w:r>
          </w:p>
        </w:tc>
        <w:tc>
          <w:tcPr>
            <w:tcW w:type="dxa" w:w="210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Sí: de todos (ve y edita)</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Nómina de todos los empleados</w:t>
            </w:r>
          </w:p>
        </w:tc>
      </w:tr>
      <w:tr>
        <w:trPr>
          <w:cantSplit/>
        </w:trPr>
        <w:tc>
          <w:tcPr>
            <w:tcW w:type="dxa" w:w="1450"/>
            <w:tcMar>
              <w:top w:type="dxa" w:w="80"/>
              <w:left w:type="dxa" w:w="100"/>
              <w:bottom w:type="dxa" w:w="80"/>
              <w:right w:type="dxa" w:w="100"/>
            </w:tcMar>
            <w:vAlign w:val="center"/>
          </w:tcPr>
          <w:p>
            <w:pPr>
              <w:jc w:val="center"/>
            </w:pPr>
            <w:r>
              <w:rPr>
                <w:b w:val="false"/>
                <w:bCs w:val="false"/>
                <w:color w:val="000000"/>
                <w:sz w:val="20"/>
                <w:szCs w:val="20"/>
              </w:rPr>
              <w:t xml:space="preserve">Administrativo</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Sí</w:t>
            </w:r>
          </w:p>
        </w:tc>
        <w:tc>
          <w:tcPr>
            <w:tcW w:type="dxa" w:w="1300"/>
            <w:tcMar>
              <w:top w:type="dxa" w:w="80"/>
              <w:left w:type="dxa" w:w="100"/>
              <w:bottom w:type="dxa" w:w="80"/>
              <w:right w:type="dxa" w:w="100"/>
            </w:tcMar>
            <w:vAlign w:val="center"/>
          </w:tcPr>
          <w:p>
            <w:pPr>
              <w:jc w:val="center"/>
            </w:pPr>
            <w:r>
              <w:rPr>
                <w:b w:val="false"/>
                <w:bCs w:val="false"/>
                <w:color w:val="000000"/>
                <w:sz w:val="20"/>
                <w:szCs w:val="20"/>
              </w:rPr>
              <w:t xml:space="preserve">Sí</w:t>
            </w:r>
          </w:p>
        </w:tc>
        <w:tc>
          <w:tcPr>
            <w:tcW w:type="dxa" w:w="2100"/>
            <w:tcMar>
              <w:top w:type="dxa" w:w="80"/>
              <w:left w:type="dxa" w:w="100"/>
              <w:bottom w:type="dxa" w:w="80"/>
              <w:right w:type="dxa" w:w="100"/>
            </w:tcMar>
            <w:vAlign w:val="center"/>
          </w:tcPr>
          <w:p>
            <w:pPr>
              <w:jc w:val="center"/>
            </w:pPr>
            <w:r>
              <w:rPr>
                <w:b w:val="false"/>
                <w:bCs w:val="false"/>
                <w:color w:val="000000"/>
                <w:sz w:val="20"/>
                <w:szCs w:val="20"/>
              </w:rPr>
              <w:t xml:space="preserve">Sí: todas</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Sí: de todos (ve y edita)</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Todo + crea usuarios</w:t>
            </w:r>
          </w:p>
        </w:tc>
      </w:tr>
    </w:tbl>
    <w:p>
      <w:pPr>
        <w:pBdr>
          <w:left w:val="single" w:color="C9A227" w:sz="12" w:space="8"/>
        </w:pBdr>
        <w:spacing w:after="200" w:before="100"/>
        <w:ind w:left="200"/>
      </w:pPr>
      <w:r>
        <w:rPr>
          <w:i/>
          <w:iCs/>
          <w:color w:val="7A5C00"/>
        </w:rPr>
        <w:t xml:space="preserve">Nota: esta matriz ya era consistente con la clasificación de datos confirmada en la Sección 14 — Staff nunca ve compras ni comisiones, sean de emprendedoras o líderes. RH y Administrativo son los únicos que ven y editan la nómina de todos; cada empleado (Staff, RH, Administrativo) ve únicamente su propio recibo.</w:t>
      </w:r>
    </w:p>
    <w:p>
      <w:pPr>
        <w:pBdr>
          <w:left w:val="single" w:color="C9A227" w:sz="12" w:space="8"/>
        </w:pBdr>
        <w:spacing w:after="200" w:before="100"/>
        <w:ind w:left="200"/>
      </w:pPr>
      <w:r>
        <w:rPr>
          <w:i/>
          <w:iCs/>
          <w:color w:val="7A5C00"/>
        </w:rPr>
        <w:t xml:space="preserve">Nota sobre Staff: el login del dispositivo es una cuenta compartida, pero cada acción registrable y la consulta del propio recibo de nómina requieren nombre + contraseña individual de cada una de las 8 personas de staff (ver Sección 11).</w:t>
      </w:r>
    </w:p>
    <w:p>
      <w:pPr>
        <w:pStyle w:val="Heading1"/>
        <w:spacing w:after="200" w:before="400"/>
      </w:pPr>
      <w:r>
        <w:t xml:space="preserve">4. Catálogo y precios</w:t>
      </w:r>
    </w:p>
    <w:p>
      <w:pPr>
        <w:pStyle w:val="ListParagraph"/>
        <w:numPr>
          <w:ilvl w:val="0"/>
          <w:numId w:val="1"/>
        </w:numPr>
        <w:spacing w:after="80"/>
      </w:pPr>
      <w:r>
        <w:t xml:space="preserve">Catálogo grande, cambia con mucha frecuencia → necesita panel de administración para altas/bajas/ediciones (staff y administrativos), similar al panel admin ya construido para la Gala.</w:t>
      </w:r>
    </w:p>
    <w:p>
      <w:pPr>
        <w:pStyle w:val="ListParagraph"/>
        <w:numPr>
          <w:ilvl w:val="0"/>
          <w:numId w:val="1"/>
        </w:numPr>
        <w:spacing w:after="80"/>
      </w:pPr>
      <w:r>
        <w:t xml:space="preserve">Cada producto muestra el precio etiqueta (precio al público) como precio base.</w:t>
      </w:r>
    </w:p>
    <w:p>
      <w:pPr>
        <w:pStyle w:val="ListParagraph"/>
        <w:numPr>
          <w:ilvl w:val="0"/>
          <w:numId w:val="1"/>
        </w:numPr>
        <w:spacing w:after="80"/>
      </w:pPr>
      <w:r>
        <w:t xml:space="preserve">Al apartar, el sistema aplica automáticamente el descuento de mayoreo correspondiente según la categoría del producto.</w:t>
      </w:r>
    </w:p>
    <w:p>
      <w:pPr>
        <w:pStyle w:val="Heading2"/>
        <w:spacing w:after="150" w:before="300"/>
      </w:pPr>
      <w:r>
        <w:t xml:space="preserve">4.1 Descuento de mayoreo por categoría</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tblGrid>
      <w:tr>
        <w:trPr>
          <w:cantSplit/>
        </w:trPr>
        <w:tc>
          <w:tcPr>
            <w:tcW w:type="dxa" w:w="4000"/>
            <w:shd w:fill="5E1A8A" w:val="clear"/>
            <w:tcMar>
              <w:top w:type="dxa" w:w="80"/>
              <w:left w:type="dxa" w:w="100"/>
              <w:bottom w:type="dxa" w:w="80"/>
              <w:right w:type="dxa" w:w="100"/>
            </w:tcMar>
            <w:vAlign w:val="center"/>
          </w:tcPr>
          <w:p>
            <w:pPr>
              <w:jc w:val="center"/>
            </w:pPr>
            <w:r>
              <w:rPr>
                <w:b/>
                <w:bCs/>
                <w:color w:val="FFFFFF"/>
                <w:sz w:val="20"/>
                <w:szCs w:val="20"/>
              </w:rPr>
              <w:t xml:space="preserve">Categoría de producto</w:t>
            </w:r>
          </w:p>
        </w:tc>
        <w:tc>
          <w:tcPr>
            <w:tcW w:type="dxa" w:w="2500"/>
            <w:shd w:fill="5E1A8A" w:val="clear"/>
            <w:tcMar>
              <w:top w:type="dxa" w:w="80"/>
              <w:left w:type="dxa" w:w="100"/>
              <w:bottom w:type="dxa" w:w="80"/>
              <w:right w:type="dxa" w:w="100"/>
            </w:tcMar>
            <w:vAlign w:val="center"/>
          </w:tcPr>
          <w:p>
            <w:pPr>
              <w:jc w:val="center"/>
            </w:pPr>
            <w:r>
              <w:rPr>
                <w:b/>
                <w:bCs/>
                <w:color w:val="FFFFFF"/>
                <w:sz w:val="20"/>
                <w:szCs w:val="20"/>
              </w:rPr>
              <w:t xml:space="preserve">% de descuento</w:t>
            </w:r>
          </w:p>
        </w:tc>
      </w:tr>
      <w:tr>
        <w:trPr>
          <w:cantSplit/>
        </w:trPr>
        <w:tc>
          <w:tcPr>
            <w:tcW w:type="dxa" w:w="4000"/>
            <w:tcMar>
              <w:top w:type="dxa" w:w="80"/>
              <w:left w:type="dxa" w:w="100"/>
              <w:bottom w:type="dxa" w:w="80"/>
              <w:right w:type="dxa" w:w="100"/>
            </w:tcMar>
            <w:vAlign w:val="center"/>
          </w:tcPr>
          <w:p>
            <w:pPr>
              <w:jc w:val="center"/>
            </w:pPr>
            <w:r>
              <w:rPr>
                <w:b w:val="false"/>
                <w:bCs w:val="false"/>
                <w:color w:val="000000"/>
                <w:sz w:val="20"/>
                <w:szCs w:val="20"/>
              </w:rPr>
              <w:t xml:space="preserve">Oro laminado</w:t>
            </w:r>
          </w:p>
        </w:tc>
        <w:tc>
          <w:tcPr>
            <w:tcW w:type="dxa" w:w="2500"/>
            <w:tcMar>
              <w:top w:type="dxa" w:w="80"/>
              <w:left w:type="dxa" w:w="100"/>
              <w:bottom w:type="dxa" w:w="80"/>
              <w:right w:type="dxa" w:w="100"/>
            </w:tcMar>
            <w:vAlign w:val="center"/>
          </w:tcPr>
          <w:p>
            <w:pPr>
              <w:jc w:val="center"/>
            </w:pPr>
            <w:r>
              <w:rPr>
                <w:b w:val="false"/>
                <w:bCs w:val="false"/>
                <w:color w:val="000000"/>
                <w:sz w:val="20"/>
                <w:szCs w:val="20"/>
              </w:rPr>
              <w:t xml:space="preserve">60%</w:t>
            </w:r>
          </w:p>
        </w:tc>
      </w:tr>
      <w:tr>
        <w:trPr>
          <w:cantSplit/>
        </w:trPr>
        <w:tc>
          <w:tcPr>
            <w:tcW w:type="dxa" w:w="4000"/>
            <w:tcMar>
              <w:top w:type="dxa" w:w="80"/>
              <w:left w:type="dxa" w:w="100"/>
              <w:bottom w:type="dxa" w:w="80"/>
              <w:right w:type="dxa" w:w="100"/>
            </w:tcMar>
            <w:vAlign w:val="center"/>
          </w:tcPr>
          <w:p>
            <w:pPr>
              <w:jc w:val="center"/>
            </w:pPr>
            <w:r>
              <w:rPr>
                <w:b w:val="false"/>
                <w:bCs w:val="false"/>
                <w:color w:val="000000"/>
                <w:sz w:val="20"/>
                <w:szCs w:val="20"/>
              </w:rPr>
              <w:t xml:space="preserve">Acero inoxidable</w:t>
            </w:r>
          </w:p>
        </w:tc>
        <w:tc>
          <w:tcPr>
            <w:tcW w:type="dxa" w:w="2500"/>
            <w:tcMar>
              <w:top w:type="dxa" w:w="80"/>
              <w:left w:type="dxa" w:w="100"/>
              <w:bottom w:type="dxa" w:w="80"/>
              <w:right w:type="dxa" w:w="100"/>
            </w:tcMar>
            <w:vAlign w:val="center"/>
          </w:tcPr>
          <w:p>
            <w:pPr>
              <w:jc w:val="center"/>
            </w:pPr>
            <w:r>
              <w:rPr>
                <w:b w:val="false"/>
                <w:bCs w:val="false"/>
                <w:color w:val="000000"/>
                <w:sz w:val="20"/>
                <w:szCs w:val="20"/>
              </w:rPr>
              <w:t xml:space="preserve">40%</w:t>
            </w:r>
          </w:p>
        </w:tc>
      </w:tr>
      <w:tr>
        <w:trPr>
          <w:cantSplit/>
        </w:trPr>
        <w:tc>
          <w:tcPr>
            <w:tcW w:type="dxa" w:w="4000"/>
            <w:tcMar>
              <w:top w:type="dxa" w:w="80"/>
              <w:left w:type="dxa" w:w="100"/>
              <w:bottom w:type="dxa" w:w="80"/>
              <w:right w:type="dxa" w:w="100"/>
            </w:tcMar>
            <w:vAlign w:val="center"/>
          </w:tcPr>
          <w:p>
            <w:pPr>
              <w:jc w:val="center"/>
            </w:pPr>
            <w:r>
              <w:rPr>
                <w:b w:val="false"/>
                <w:bCs w:val="false"/>
                <w:color w:val="000000"/>
                <w:sz w:val="20"/>
                <w:szCs w:val="20"/>
              </w:rPr>
              <w:t xml:space="preserve">Exhibidores y cajas de regalo</w:t>
            </w:r>
          </w:p>
        </w:tc>
        <w:tc>
          <w:tcPr>
            <w:tcW w:type="dxa" w:w="2500"/>
            <w:tcMar>
              <w:top w:type="dxa" w:w="80"/>
              <w:left w:type="dxa" w:w="100"/>
              <w:bottom w:type="dxa" w:w="80"/>
              <w:right w:type="dxa" w:w="100"/>
            </w:tcMar>
            <w:vAlign w:val="center"/>
          </w:tcPr>
          <w:p>
            <w:pPr>
              <w:jc w:val="center"/>
            </w:pPr>
            <w:r>
              <w:rPr>
                <w:b w:val="false"/>
                <w:bCs w:val="false"/>
                <w:color w:val="000000"/>
                <w:sz w:val="20"/>
                <w:szCs w:val="20"/>
              </w:rPr>
              <w:t xml:space="preserve">30%</w:t>
            </w:r>
          </w:p>
        </w:tc>
      </w:tr>
    </w:tbl>
    <w:p>
      <w:pPr>
        <w:pStyle w:val="ListParagraph"/>
        <w:numPr>
          <w:ilvl w:val="0"/>
          <w:numId w:val="1"/>
        </w:numPr>
        <w:spacing w:after="80"/>
      </w:pPr>
      <w:r>
        <w:t xml:space="preserve">Categorías adicionales ("Souvenirs": playeras, sudaderas, libretas, diademas, etc.) no tienen % fijo — Staff o Administrativo asigna el % de descuento libremente en cada artículo al subirlo al catálogo.</w:t>
      </w:r>
    </w:p>
    <w:p>
      <w:pPr>
        <w:pStyle w:val="Heading2"/>
        <w:spacing w:after="150" w:before="300"/>
      </w:pPr>
      <w:r>
        <w:t xml:space="preserve">4.2 Regla especial de Souvenirs — CONFIRMADO</w:t>
      </w:r>
    </w:p>
    <w:p>
      <w:pPr>
        <w:spacing w:after="120"/>
      </w:pPr>
      <w:r>
        <w:t xml:space="preserve">Las compras de artículos de la categoría Souvenirs (sin descuento fijo de mayoreo) tienen un tratamiento distinto al resto del catálogo dentro del sistema de comisiones y recompensas:</w:t>
      </w:r>
    </w:p>
    <w:p>
      <w:pPr>
        <w:pStyle w:val="ListParagraph"/>
        <w:numPr>
          <w:ilvl w:val="0"/>
          <w:numId w:val="1"/>
        </w:numPr>
        <w:spacing w:after="80"/>
      </w:pPr>
      <w:r>
        <w:t xml:space="preserve">SÍ cuentan para: el estatus de "activa" de la emprendedora (mínimo $500/mes) · la compra personal mínima de la líder ($1,500/$3,000 por periodo) · el porcentaje de "equipo calificado" (30%/50%, mínimo $1,500 por integrante).</w:t>
      </w:r>
    </w:p>
    <w:p>
      <w:pPr>
        <w:pStyle w:val="ListParagraph"/>
        <w:numPr>
          <w:ilvl w:val="0"/>
          <w:numId w:val="1"/>
        </w:numPr>
        <w:spacing w:after="80"/>
      </w:pPr>
      <w:r>
        <w:t xml:space="preserve">NO cuentan para: la comisión de la líder (fórmula ÷1.16 × %) · los puntos de producción grupal · el Reto de Constancia ($8,000/mes) · las Rifas mensuales ($3,000/mes).</w:t>
      </w:r>
    </w:p>
    <w:p>
      <w:pPr>
        <w:pStyle w:val="ListParagraph"/>
        <w:numPr>
          <w:ilvl w:val="0"/>
          <w:numId w:val="1"/>
        </w:numPr>
        <w:spacing w:after="80"/>
      </w:pPr>
      <w:r>
        <w:t xml:space="preserve">Implicación de diseño: cada compra debe registrar qué parte del monto corresponde a Souvenirs y qué parte a artículos con descuento normal, para poder aplicar esta regla automáticamente en cada cálculo.</w:t>
      </w:r>
    </w:p>
    <w:p>
      <w:pPr>
        <w:pStyle w:val="Heading2"/>
        <w:spacing w:after="150" w:before="300"/>
      </w:pPr>
      <w:r>
        <w:t xml:space="preserve">4.3 Variantes e inventario — CONFIRMADO</w:t>
      </w:r>
    </w:p>
    <w:p>
      <w:pPr>
        <w:pStyle w:val="ListParagraph"/>
        <w:numPr>
          <w:ilvl w:val="0"/>
          <w:numId w:val="1"/>
        </w:numPr>
        <w:spacing w:after="80"/>
      </w:pPr>
      <w:r>
        <w:t xml:space="preserve">Jerarquía de producto: Modelo → Color → Talla/Tamaño. Cada modelo puede tener uno o varios colores, y cada color puede tener una o varias tallas/tamaños.</w:t>
      </w:r>
    </w:p>
    <w:p>
      <w:pPr>
        <w:pStyle w:val="ListParagraph"/>
        <w:numPr>
          <w:ilvl w:val="0"/>
          <w:numId w:val="1"/>
        </w:numPr>
        <w:spacing w:after="80"/>
      </w:pPr>
      <w:r>
        <w:t xml:space="preserve">La cantidad disponible se registra en el nivel más específico que tenga la pieza (ej. Modelo "Arete corazón" → Color "Zirconia roja" = 3 piezas, "Zirconia azul" = 1 pieza, "Zirconia verde" = 2 piezas; si además hubiera tallas, la cantidad se registraría por cada combinación color+talla).</w:t>
      </w:r>
    </w:p>
    <w:p>
      <w:pPr>
        <w:pStyle w:val="ListParagraph"/>
        <w:numPr>
          <w:ilvl w:val="0"/>
          <w:numId w:val="1"/>
        </w:numPr>
        <w:spacing w:after="80"/>
      </w:pPr>
      <w:r>
        <w:t xml:space="preserve">Staff o Administrativo registra la cantidad recibida por cada combinación de variante al dar de alta o reabastecer un artículo.</w:t>
      </w:r>
    </w:p>
    <w:p>
      <w:pPr>
        <w:pStyle w:val="ListParagraph"/>
        <w:numPr>
          <w:ilvl w:val="0"/>
          <w:numId w:val="1"/>
        </w:numPr>
        <w:spacing w:after="80"/>
      </w:pPr>
      <w:r>
        <w:t xml:space="preserve">Emprendedoras y líderes NUNCA ven la cantidad exacta restante — solo ven "Disponible". En cuanto se agotan las existencias de una variante específica (ese color, esa talla), esa opción desaparece del catálogo para ellas; si se agotan todas las variantes, la pieza completa desaparece.</w:t>
      </w:r>
    </w:p>
    <w:p>
      <w:pPr>
        <w:pStyle w:val="ListParagraph"/>
        <w:numPr>
          <w:ilvl w:val="0"/>
          <w:numId w:val="1"/>
        </w:numPr>
        <w:spacing w:after="80"/>
      </w:pPr>
      <w:r>
        <w:t xml:space="preserve">Las fotografías pueden subirlas Staff o Administrativo (en la práctica, más frecuentemente Staff).</w:t>
      </w:r>
    </w:p>
    <w:p>
      <w:pPr>
        <w:pStyle w:val="Heading1"/>
        <w:spacing w:after="200" w:before="400"/>
      </w:pPr>
      <w:r>
        <w:t xml:space="preserve">5. Sistema de apartado (solo emprendedoras y líderes)</w:t>
      </w:r>
    </w:p>
    <w:p>
      <w:pPr>
        <w:spacing w:after="120"/>
      </w:pPr>
      <w:r>
        <w:t xml:space="preserve">Reemplaza el proceso manual actual por WhatsApp (grupo de fotos + comentario "yo la quiero" + pago de $50 + bolsita física con nombre/fecha/celular).</w:t>
      </w:r>
    </w:p>
    <w:p>
      <w:pPr>
        <w:pStyle w:val="Heading2"/>
        <w:spacing w:after="150" w:before="300"/>
      </w:pPr>
      <w:r>
        <w:t xml:space="preserve">5.1 El depósito abre una "ventana" — CONFIRMADO</w:t>
      </w:r>
    </w:p>
    <w:p>
      <w:pPr>
        <w:spacing w:after="120"/>
      </w:pPr>
      <w:r>
        <w:t xml:space="preserve">El depósito NO pertenece a una pieza en particular — pertenece a la persona (emprendedora/líder), y abre una ventana de tiempo durante la cual puede apartar varias piezas sin volver a pagar.</w:t>
      </w:r>
    </w:p>
    <w:p>
      <w:pPr>
        <w:pStyle w:val="ListParagraph"/>
        <w:numPr>
          <w:ilvl w:val="0"/>
          <w:numId w:val="1"/>
        </w:numPr>
        <w:spacing w:after="80"/>
      </w:pPr>
      <w:r>
        <w:t xml:space="preserve">Depósito estándar: $50. También puede depositar un monto libre (más de $50).</w:t>
      </w:r>
    </w:p>
    <w:p>
      <w:pPr>
        <w:pStyle w:val="ListParagraph"/>
        <w:numPr>
          <w:ilvl w:val="0"/>
          <w:numId w:val="1"/>
        </w:numPr>
        <w:spacing w:after="80"/>
      </w:pPr>
      <w:r>
        <w:t xml:space="preserve">Staff o Administrativo registra manualmente cuándo se recibió físicamente el depósito. Al confirmarlo, se abre la ventana: 3 días estándar, 15 días si es foránea, o sin vencimiento si es líder VIP (aunque en este último caso Staff igual debe confirmar/aprobar manualmente cada apartado — ver 5.5).</w:t>
      </w:r>
    </w:p>
    <w:p>
      <w:pPr>
        <w:pStyle w:val="ListParagraph"/>
        <w:numPr>
          <w:ilvl w:val="0"/>
          <w:numId w:val="1"/>
        </w:numPr>
        <w:spacing w:after="80"/>
      </w:pPr>
      <w:r>
        <w:t xml:space="preserve">Mientras la ventana esté vigente, la persona puede apartar piezas ILIMITADAS sin pagar de nuevo — cada pieza nueva solo requiere que Staff la confirme en el sistema (sin registrar un pago adicional), y se reserva de inmediato (desaparece del catálogo o baja su conteo de disponibles).</w:t>
      </w:r>
    </w:p>
    <w:p>
      <w:pPr>
        <w:pStyle w:val="ListParagraph"/>
        <w:numPr>
          <w:ilvl w:val="0"/>
          <w:numId w:val="1"/>
        </w:numPr>
        <w:spacing w:after="80"/>
      </w:pPr>
      <w:r>
        <w:t xml:space="preserve">Si hay varias solicitudes de distintas personas sobre la misma pieza al mismo tiempo, gana la solicitud cuyo depósito se pagó primero (orden de llegada del pago físico, no el orden del clic en el sitio). Las demás solicitudes pendientes se cancelan automáticamente en cuanto se confirma el depósito ganador.</w:t>
      </w:r>
    </w:p>
    <w:p>
      <w:pPr>
        <w:pStyle w:val="ListParagraph"/>
        <w:numPr>
          <w:ilvl w:val="0"/>
          <w:numId w:val="1"/>
        </w:numPr>
        <w:spacing w:after="80"/>
      </w:pPr>
      <w:r>
        <w:t xml:space="preserve">La usuaria puede ver en su cuenta cuánto tiempo le queda de ventana, y qué piezas tiene activas bajo ella.</w:t>
      </w:r>
    </w:p>
    <w:p>
      <w:pPr>
        <w:pStyle w:val="Heading2"/>
        <w:spacing w:after="150" w:before="300"/>
      </w:pPr>
      <w:r>
        <w:t xml:space="preserve">5.2 Liquidar (pagar) — CONFIRMADO</w:t>
      </w:r>
    </w:p>
    <w:p>
      <w:pPr>
        <w:pStyle w:val="ListParagraph"/>
        <w:numPr>
          <w:ilvl w:val="0"/>
          <w:numId w:val="1"/>
        </w:numPr>
        <w:spacing w:after="80"/>
      </w:pPr>
      <w:r>
        <w:t xml:space="preserve">Puede liquidar (pagar) una sola pieza de las varias activas y dejar las demás pendientes bajo la misma ventana — no tiene que pagar todo junto.</w:t>
      </w:r>
    </w:p>
    <w:p>
      <w:pPr>
        <w:pStyle w:val="ListParagraph"/>
        <w:numPr>
          <w:ilvl w:val="0"/>
          <w:numId w:val="1"/>
        </w:numPr>
        <w:spacing w:after="80"/>
      </w:pPr>
      <w:r>
        <w:t xml:space="preserve">Si depositó monto libre, el excedente sobre $50 se puede aplicar a cualquier pago (parcial o final) — la clienta decide en qué momento usarlo.</w:t>
      </w:r>
    </w:p>
    <w:p>
      <w:pPr>
        <w:pStyle w:val="ListParagraph"/>
        <w:numPr>
          <w:ilvl w:val="0"/>
          <w:numId w:val="1"/>
        </w:numPr>
        <w:spacing w:after="80"/>
      </w:pPr>
      <w:r>
        <w:t xml:space="preserve">Los $50 base del depósito NO se resuelven hasta que se cierra TODA la ventana — es decir, hasta que ya no quede ninguna pieza activa bajo ella (todas pagadas o canceladas). En ese momento, la clienta elige: aplicar los $50 a su compra (se restan del total), o guardarlos como crédito disponible para su siguiente apartado.</w:t>
      </w:r>
    </w:p>
    <w:p>
      <w:pPr>
        <w:pStyle w:val="ListParagraph"/>
        <w:numPr>
          <w:ilvl w:val="0"/>
          <w:numId w:val="1"/>
        </w:numPr>
        <w:spacing w:after="80"/>
      </w:pPr>
      <w:r>
        <w:t xml:space="preserve">Al pagar una pieza, esa pieza (o variante) queda vendida de forma definitiva.</w:t>
      </w:r>
    </w:p>
    <w:p>
      <w:pPr>
        <w:pStyle w:val="Heading2"/>
        <w:spacing w:after="150" w:before="300"/>
      </w:pPr>
      <w:r>
        <w:t xml:space="preserve">5.3 Cancelación y vencimiento — CONFIRMADO</w:t>
      </w:r>
    </w:p>
    <w:p>
      <w:pPr>
        <w:pStyle w:val="ListParagraph"/>
        <w:numPr>
          <w:ilvl w:val="0"/>
          <w:numId w:val="1"/>
        </w:numPr>
        <w:spacing w:after="80"/>
      </w:pPr>
      <w:r>
        <w:t xml:space="preserve">Cancelar una pieza mientras quedan otras activas bajo la misma ventana NO resuelve el depósito — la ventana sigue vigente para el resto de las piezas.</w:t>
      </w:r>
    </w:p>
    <w:p>
      <w:pPr>
        <w:pStyle w:val="ListParagraph"/>
        <w:numPr>
          <w:ilvl w:val="0"/>
          <w:numId w:val="1"/>
        </w:numPr>
        <w:spacing w:after="80"/>
      </w:pPr>
      <w:r>
        <w:t xml:space="preserve">Si vence la ventana con piezas activas sin resolver, se pierden TODAS esas piezas junto con el depósito completo — no se genera crédito parcial.</w:t>
      </w:r>
    </w:p>
    <w:p>
      <w:pPr>
        <w:pStyle w:val="ListParagraph"/>
        <w:numPr>
          <w:ilvl w:val="0"/>
          <w:numId w:val="1"/>
        </w:numPr>
        <w:spacing w:after="80"/>
      </w:pPr>
      <w:r>
        <w:t xml:space="preserve">Staff Y Administrativo pueden cancelar manualmente una pieza o un apartado.</w:t>
      </w:r>
    </w:p>
    <w:p>
      <w:pPr>
        <w:pStyle w:val="ListParagraph"/>
        <w:numPr>
          <w:ilvl w:val="0"/>
          <w:numId w:val="1"/>
        </w:numPr>
        <w:spacing w:after="80"/>
      </w:pPr>
      <w:r>
        <w:t xml:space="preserve">Staff/administrativos tienen una vista de ventanas vencidas, con el número de WhatsApp de la persona para darles seguimiento manual.</w:t>
      </w:r>
    </w:p>
    <w:p>
      <w:pPr>
        <w:pStyle w:val="Heading2"/>
        <w:spacing w:after="150" w:before="300"/>
      </w:pPr>
      <w:r>
        <w:t xml:space="preserve">5.4 Crédito guardado — CONFIRMADO</w:t>
      </w:r>
    </w:p>
    <w:p>
      <w:pPr>
        <w:pStyle w:val="ListParagraph"/>
        <w:numPr>
          <w:ilvl w:val="0"/>
          <w:numId w:val="1"/>
        </w:numPr>
        <w:spacing w:after="80"/>
      </w:pPr>
      <w:r>
        <w:t xml:space="preserve">Un crédito guardado ($50) puede reactivarse en cualquier momento futuro para abrir una ventana nueva en un apartado nuevo, sin necesidad de depositar de nuevo.</w:t>
      </w:r>
    </w:p>
    <w:p>
      <w:pPr>
        <w:pStyle w:val="ListParagraph"/>
        <w:numPr>
          <w:ilvl w:val="0"/>
          <w:numId w:val="1"/>
        </w:numPr>
        <w:spacing w:after="80"/>
      </w:pPr>
      <w:r>
        <w:t xml:space="preserve">La ventana nueva empieza a correr (3 días / 15 foránea) en el momento en que Staff confirma que la persona aún conserva su crédito disponible.</w:t>
      </w:r>
    </w:p>
    <w:p>
      <w:pPr>
        <w:pStyle w:val="ListParagraph"/>
        <w:numPr>
          <w:ilvl w:val="0"/>
          <w:numId w:val="1"/>
        </w:numPr>
        <w:spacing w:after="80"/>
      </w:pPr>
      <w:r>
        <w:t xml:space="preserve">Tanto Staff/RH/Administrativo como la propia emprendedora/líder pueden ver si tiene un crédito de $50 disponible.</w:t>
      </w:r>
    </w:p>
    <w:p>
      <w:pPr>
        <w:pStyle w:val="Heading2"/>
        <w:spacing w:after="150" w:before="300"/>
      </w:pPr>
      <w:r>
        <w:t xml:space="preserve">5.5 Excepciones al plazo estándar de 3 días</w:t>
      </w:r>
    </w:p>
    <w:p>
      <w:pPr>
        <w:pStyle w:val="ListParagraph"/>
        <w:numPr>
          <w:ilvl w:val="0"/>
          <w:numId w:val="1"/>
        </w:numPr>
        <w:spacing w:after="80"/>
      </w:pPr>
      <w:r>
        <w:t xml:space="preserve">Emprendedoras foráneas: 15 días en lugar de 3.</w:t>
      </w:r>
    </w:p>
    <w:p>
      <w:pPr>
        <w:pStyle w:val="ListParagraph"/>
        <w:numPr>
          <w:ilvl w:val="0"/>
          <w:numId w:val="1"/>
        </w:numPr>
        <w:spacing w:after="80"/>
      </w:pPr>
      <w:r>
        <w:t xml:space="preserve">Líderes VIP: sin depósito requerido y sin vencimiento. Aun así, Staff/Administrativo debe confirmar/aprobar manualmente cada apartado de una líder VIP en el sistema (no se reserva automáticamente solo con su clic), para mantener el mismo control que con el resto de los apartados.</w:t>
      </w:r>
    </w:p>
    <w:p>
      <w:pPr>
        <w:pStyle w:val="ListParagraph"/>
        <w:numPr>
          <w:ilvl w:val="0"/>
          <w:numId w:val="1"/>
        </w:numPr>
        <w:spacing w:after="80"/>
      </w:pPr>
      <w:r>
        <w:t xml:space="preserve">El sistema debe permitir marcar a una emprendedora como "foránea" y a una líder como "VIP".</w:t>
      </w:r>
    </w:p>
    <w:p>
      <w:pPr>
        <w:pStyle w:val="Heading1"/>
        <w:spacing w:after="200" w:before="400"/>
      </w:pPr>
      <w:r>
        <w:t xml:space="preserve">6. Lista de deseos</w:t>
      </w:r>
    </w:p>
    <w:p>
      <w:pPr>
        <w:pStyle w:val="ListParagraph"/>
        <w:numPr>
          <w:ilvl w:val="0"/>
          <w:numId w:val="1"/>
        </w:numPr>
        <w:spacing w:after="80"/>
      </w:pPr>
      <w:r>
        <w:t xml:space="preserve">La emprendedora puede pedir una pieza que no está en el catálogo: descripción en texto + foto de referencia opcional.</w:t>
      </w:r>
    </w:p>
    <w:p>
      <w:pPr>
        <w:pStyle w:val="ListParagraph"/>
        <w:numPr>
          <w:ilvl w:val="0"/>
          <w:numId w:val="1"/>
        </w:numPr>
        <w:spacing w:after="80"/>
      </w:pPr>
      <w:r>
        <w:t xml:space="preserve">Staff tiene una vista con todas las peticiones pendientes.</w:t>
      </w:r>
    </w:p>
    <w:p>
      <w:pPr>
        <w:pStyle w:val="ListParagraph"/>
        <w:numPr>
          <w:ilvl w:val="0"/>
          <w:numId w:val="1"/>
        </w:numPr>
        <w:spacing w:after="80"/>
      </w:pPr>
      <w:r>
        <w:t xml:space="preserve">Cuando staff sube una pieza nueva al catálogo, revisa manualmente la lista de deseos y decide a quién notificar (no hay coincidencia automática por palabras clave).</w:t>
      </w:r>
    </w:p>
    <w:p>
      <w:pPr>
        <w:pStyle w:val="Heading1"/>
        <w:spacing w:after="200" w:before="400"/>
      </w:pPr>
      <w:r>
        <w:t xml:space="preserve">7. Equipos y comisiones de líderes</w:t>
      </w:r>
    </w:p>
    <w:p>
      <w:pPr>
        <w:pStyle w:val="Heading2"/>
        <w:spacing w:after="150" w:before="300"/>
      </w:pPr>
      <w:r>
        <w:t xml:space="preserve">7.1 Estructura de niveles (tipo pirámide)</w:t>
      </w:r>
    </w:p>
    <w:p>
      <w:pPr>
        <w:spacing w:after="120"/>
      </w:pPr>
      <w:r>
        <w:t xml:space="preserve">El nivel de una persona respecto a una líder depende de cuántos "eslabones" de invitación hay entre ellas. Ejemplo: la líder invita a María (Nivel 1). María invita a Sofía (Nivel 2 de la líder). Sofía invita a Claudia (Nivel 3 de la líder). Así hasta el nivel 5.</w:t>
      </w:r>
    </w:p>
    <w:p>
      <w:pPr>
        <w:pStyle w:val="Heading2"/>
        <w:spacing w:after="150" w:before="300"/>
      </w:pPr>
      <w:r>
        <w:t xml:space="preserve">7.2 Requisitos por rango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300"/>
        <w:gridCol w:w="2300"/>
        <w:gridCol w:w="2300"/>
      </w:tblGrid>
      <w:tr>
        <w:trPr>
          <w:cantSplit/>
        </w:trPr>
        <w:tc>
          <w:tcPr>
            <w:tcW w:type="dxa" w:w="1500"/>
            <w:shd w:fill="5E1A8A" w:val="clear"/>
            <w:tcMar>
              <w:top w:type="dxa" w:w="80"/>
              <w:left w:type="dxa" w:w="100"/>
              <w:bottom w:type="dxa" w:w="80"/>
              <w:right w:type="dxa" w:w="100"/>
            </w:tcMar>
            <w:vAlign w:val="center"/>
          </w:tcPr>
          <w:p>
            <w:pPr>
              <w:jc w:val="center"/>
            </w:pPr>
            <w:r>
              <w:rPr>
                <w:b/>
                <w:bCs/>
                <w:color w:val="FFFFFF"/>
                <w:sz w:val="20"/>
                <w:szCs w:val="20"/>
              </w:rPr>
              <w:t xml:space="preserve">Rango</w:t>
            </w:r>
          </w:p>
        </w:tc>
        <w:tc>
          <w:tcPr>
            <w:tcW w:type="dxa" w:w="1900"/>
            <w:shd w:fill="5E1A8A" w:val="clear"/>
            <w:tcMar>
              <w:top w:type="dxa" w:w="80"/>
              <w:left w:type="dxa" w:w="100"/>
              <w:bottom w:type="dxa" w:w="80"/>
              <w:right w:type="dxa" w:w="100"/>
            </w:tcMar>
            <w:vAlign w:val="center"/>
          </w:tcPr>
          <w:p>
            <w:pPr>
              <w:jc w:val="center"/>
            </w:pPr>
            <w:r>
              <w:rPr>
                <w:b/>
                <w:bCs/>
                <w:color w:val="FFFFFF"/>
                <w:sz w:val="20"/>
                <w:szCs w:val="20"/>
              </w:rPr>
              <w:t xml:space="preserve">Personas activas</w:t>
            </w:r>
          </w:p>
        </w:tc>
        <w:tc>
          <w:tcPr>
            <w:tcW w:type="dxa" w:w="2300"/>
            <w:shd w:fill="5E1A8A" w:val="clear"/>
            <w:tcMar>
              <w:top w:type="dxa" w:w="80"/>
              <w:left w:type="dxa" w:w="100"/>
              <w:bottom w:type="dxa" w:w="80"/>
              <w:right w:type="dxa" w:w="100"/>
            </w:tcMar>
            <w:vAlign w:val="center"/>
          </w:tcPr>
          <w:p>
            <w:pPr>
              <w:jc w:val="center"/>
            </w:pPr>
            <w:r>
              <w:rPr>
                <w:b/>
                <w:bCs/>
                <w:color w:val="FFFFFF"/>
                <w:sz w:val="20"/>
                <w:szCs w:val="20"/>
              </w:rPr>
              <w:t xml:space="preserve">Puntos producción grupal</w:t>
            </w:r>
          </w:p>
        </w:tc>
        <w:tc>
          <w:tcPr>
            <w:tcW w:type="dxa" w:w="2300"/>
            <w:shd w:fill="5E1A8A" w:val="clear"/>
            <w:tcMar>
              <w:top w:type="dxa" w:w="80"/>
              <w:left w:type="dxa" w:w="100"/>
              <w:bottom w:type="dxa" w:w="80"/>
              <w:right w:type="dxa" w:w="100"/>
            </w:tcMar>
            <w:vAlign w:val="center"/>
          </w:tcPr>
          <w:p>
            <w:pPr>
              <w:jc w:val="center"/>
            </w:pPr>
            <w:r>
              <w:rPr>
                <w:b/>
                <w:bCs/>
                <w:color w:val="FFFFFF"/>
                <w:sz w:val="20"/>
                <w:szCs w:val="20"/>
              </w:rPr>
              <w:t xml:space="preserve">Compra personal (por periodo)</w:t>
            </w:r>
          </w:p>
        </w:tc>
        <w:tc>
          <w:tcPr>
            <w:tcW w:type="dxa" w:w="2300"/>
            <w:shd w:fill="5E1A8A" w:val="clear"/>
            <w:tcMar>
              <w:top w:type="dxa" w:w="80"/>
              <w:left w:type="dxa" w:w="100"/>
              <w:bottom w:type="dxa" w:w="80"/>
              <w:right w:type="dxa" w:w="100"/>
            </w:tcMar>
            <w:vAlign w:val="center"/>
          </w:tcPr>
          <w:p>
            <w:pPr>
              <w:jc w:val="center"/>
            </w:pPr>
            <w:r>
              <w:rPr>
                <w:b/>
                <w:bCs/>
                <w:color w:val="FFFFFF"/>
                <w:sz w:val="20"/>
                <w:szCs w:val="20"/>
              </w:rPr>
              <w:t xml:space="preserve">Equipo calificado</w:t>
            </w:r>
          </w:p>
        </w:tc>
      </w:tr>
      <w:tr>
        <w:trPr>
          <w:cantSplit/>
        </w:trPr>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Plata</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2300"/>
            <w:tcMar>
              <w:top w:type="dxa" w:w="80"/>
              <w:left w:type="dxa" w:w="100"/>
              <w:bottom w:type="dxa" w:w="80"/>
              <w:right w:type="dxa" w:w="100"/>
            </w:tcMar>
            <w:vAlign w:val="center"/>
          </w:tcPr>
          <w:p>
            <w:pPr>
              <w:jc w:val="center"/>
            </w:pPr>
            <w:r>
              <w:rPr>
                <w:b w:val="false"/>
                <w:bCs w:val="false"/>
                <w:color w:val="000000"/>
                <w:sz w:val="20"/>
                <w:szCs w:val="20"/>
              </w:rPr>
              <w:t xml:space="preserve">22,500 pts</w:t>
            </w:r>
          </w:p>
        </w:tc>
        <w:tc>
          <w:tcPr>
            <w:tcW w:type="dxa" w:w="2300"/>
            <w:tcMar>
              <w:top w:type="dxa" w:w="80"/>
              <w:left w:type="dxa" w:w="100"/>
              <w:bottom w:type="dxa" w:w="80"/>
              <w:right w:type="dxa" w:w="100"/>
            </w:tcMar>
            <w:vAlign w:val="center"/>
          </w:tcPr>
          <w:p>
            <w:pPr>
              <w:jc w:val="center"/>
            </w:pPr>
            <w:r>
              <w:rPr>
                <w:b w:val="false"/>
                <w:bCs w:val="false"/>
                <w:color w:val="000000"/>
                <w:sz w:val="20"/>
                <w:szCs w:val="20"/>
              </w:rPr>
              <w:t xml:space="preserve">$1,500</w:t>
            </w:r>
          </w:p>
        </w:tc>
        <w:tc>
          <w:tcPr>
            <w:tcW w:type="dxa" w:w="2300"/>
            <w:tcMar>
              <w:top w:type="dxa" w:w="80"/>
              <w:left w:type="dxa" w:w="100"/>
              <w:bottom w:type="dxa" w:w="80"/>
              <w:right w:type="dxa" w:w="100"/>
            </w:tcMar>
            <w:vAlign w:val="center"/>
          </w:tcPr>
          <w:p>
            <w:pPr>
              <w:jc w:val="center"/>
            </w:pPr>
            <w:r>
              <w:rPr>
                <w:b w:val="false"/>
                <w:bCs w:val="false"/>
                <w:color w:val="000000"/>
                <w:sz w:val="20"/>
                <w:szCs w:val="20"/>
              </w:rPr>
              <w:t xml:space="preserve">30% (mín. $1,500 c/u)</w:t>
            </w:r>
          </w:p>
        </w:tc>
      </w:tr>
      <w:tr>
        <w:trPr>
          <w:cantSplit/>
        </w:trPr>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Oro</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2300"/>
            <w:tcMar>
              <w:top w:type="dxa" w:w="80"/>
              <w:left w:type="dxa" w:w="100"/>
              <w:bottom w:type="dxa" w:w="80"/>
              <w:right w:type="dxa" w:w="100"/>
            </w:tcMar>
            <w:vAlign w:val="center"/>
          </w:tcPr>
          <w:p>
            <w:pPr>
              <w:jc w:val="center"/>
            </w:pPr>
            <w:r>
              <w:rPr>
                <w:b w:val="false"/>
                <w:bCs w:val="false"/>
                <w:color w:val="000000"/>
                <w:sz w:val="20"/>
                <w:szCs w:val="20"/>
              </w:rPr>
              <w:t xml:space="preserve">52,500 pts</w:t>
            </w:r>
          </w:p>
        </w:tc>
        <w:tc>
          <w:tcPr>
            <w:tcW w:type="dxa" w:w="2300"/>
            <w:tcMar>
              <w:top w:type="dxa" w:w="80"/>
              <w:left w:type="dxa" w:w="100"/>
              <w:bottom w:type="dxa" w:w="80"/>
              <w:right w:type="dxa" w:w="100"/>
            </w:tcMar>
            <w:vAlign w:val="center"/>
          </w:tcPr>
          <w:p>
            <w:pPr>
              <w:jc w:val="center"/>
            </w:pPr>
            <w:r>
              <w:rPr>
                <w:b w:val="false"/>
                <w:bCs w:val="false"/>
                <w:color w:val="000000"/>
                <w:sz w:val="20"/>
                <w:szCs w:val="20"/>
              </w:rPr>
              <w:t xml:space="preserve">$1,500</w:t>
            </w:r>
          </w:p>
        </w:tc>
        <w:tc>
          <w:tcPr>
            <w:tcW w:type="dxa" w:w="2300"/>
            <w:tcMar>
              <w:top w:type="dxa" w:w="80"/>
              <w:left w:type="dxa" w:w="100"/>
              <w:bottom w:type="dxa" w:w="80"/>
              <w:right w:type="dxa" w:w="100"/>
            </w:tcMar>
            <w:vAlign w:val="center"/>
          </w:tcPr>
          <w:p>
            <w:pPr>
              <w:jc w:val="center"/>
            </w:pPr>
            <w:r>
              <w:rPr>
                <w:b w:val="false"/>
                <w:bCs w:val="false"/>
                <w:color w:val="000000"/>
                <w:sz w:val="20"/>
                <w:szCs w:val="20"/>
              </w:rPr>
              <w:t xml:space="preserve">30% (mín. $1,500 c/u)</w:t>
            </w:r>
          </w:p>
        </w:tc>
      </w:tr>
      <w:tr>
        <w:trPr>
          <w:cantSplit/>
        </w:trPr>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Diamante</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≥15</w:t>
            </w:r>
          </w:p>
        </w:tc>
        <w:tc>
          <w:tcPr>
            <w:tcW w:type="dxa" w:w="2300"/>
            <w:tcMar>
              <w:top w:type="dxa" w:w="80"/>
              <w:left w:type="dxa" w:w="100"/>
              <w:bottom w:type="dxa" w:w="80"/>
              <w:right w:type="dxa" w:w="100"/>
            </w:tcMar>
            <w:vAlign w:val="center"/>
          </w:tcPr>
          <w:p>
            <w:pPr>
              <w:jc w:val="center"/>
            </w:pPr>
            <w:r>
              <w:rPr>
                <w:b w:val="false"/>
                <w:bCs w:val="false"/>
                <w:color w:val="000000"/>
                <w:sz w:val="20"/>
                <w:szCs w:val="20"/>
              </w:rPr>
              <w:t xml:space="preserve">75,000 pts</w:t>
            </w:r>
          </w:p>
        </w:tc>
        <w:tc>
          <w:tcPr>
            <w:tcW w:type="dxa" w:w="2300"/>
            <w:tcMar>
              <w:top w:type="dxa" w:w="80"/>
              <w:left w:type="dxa" w:w="100"/>
              <w:bottom w:type="dxa" w:w="80"/>
              <w:right w:type="dxa" w:w="100"/>
            </w:tcMar>
            <w:vAlign w:val="center"/>
          </w:tcPr>
          <w:p>
            <w:pPr>
              <w:jc w:val="center"/>
            </w:pPr>
            <w:r>
              <w:rPr>
                <w:b w:val="false"/>
                <w:bCs w:val="false"/>
                <w:color w:val="000000"/>
                <w:sz w:val="20"/>
                <w:szCs w:val="20"/>
              </w:rPr>
              <w:t xml:space="preserve">$3,000</w:t>
            </w:r>
          </w:p>
        </w:tc>
        <w:tc>
          <w:tcPr>
            <w:tcW w:type="dxa" w:w="2300"/>
            <w:tcMar>
              <w:top w:type="dxa" w:w="80"/>
              <w:left w:type="dxa" w:w="100"/>
              <w:bottom w:type="dxa" w:w="80"/>
              <w:right w:type="dxa" w:w="100"/>
            </w:tcMar>
            <w:vAlign w:val="center"/>
          </w:tcPr>
          <w:p>
            <w:pPr>
              <w:jc w:val="center"/>
            </w:pPr>
            <w:r>
              <w:rPr>
                <w:b w:val="false"/>
                <w:bCs w:val="false"/>
                <w:color w:val="000000"/>
                <w:sz w:val="20"/>
                <w:szCs w:val="20"/>
              </w:rPr>
              <w:t xml:space="preserve">50% (mín. $1,500 c/u)</w:t>
            </w:r>
          </w:p>
        </w:tc>
      </w:tr>
      <w:tr>
        <w:trPr>
          <w:cantSplit/>
        </w:trPr>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Corona</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≥30</w:t>
            </w:r>
          </w:p>
        </w:tc>
        <w:tc>
          <w:tcPr>
            <w:tcW w:type="dxa" w:w="2300"/>
            <w:tcMar>
              <w:top w:type="dxa" w:w="80"/>
              <w:left w:type="dxa" w:w="100"/>
              <w:bottom w:type="dxa" w:w="80"/>
              <w:right w:type="dxa" w:w="100"/>
            </w:tcMar>
            <w:vAlign w:val="center"/>
          </w:tcPr>
          <w:p>
            <w:pPr>
              <w:jc w:val="center"/>
            </w:pPr>
            <w:r>
              <w:rPr>
                <w:b w:val="false"/>
                <w:bCs w:val="false"/>
                <w:color w:val="000000"/>
                <w:sz w:val="20"/>
                <w:szCs w:val="20"/>
              </w:rPr>
              <w:t xml:space="preserve">180,000 pts</w:t>
            </w:r>
          </w:p>
        </w:tc>
        <w:tc>
          <w:tcPr>
            <w:tcW w:type="dxa" w:w="2300"/>
            <w:tcMar>
              <w:top w:type="dxa" w:w="80"/>
              <w:left w:type="dxa" w:w="100"/>
              <w:bottom w:type="dxa" w:w="80"/>
              <w:right w:type="dxa" w:w="100"/>
            </w:tcMar>
            <w:vAlign w:val="center"/>
          </w:tcPr>
          <w:p>
            <w:pPr>
              <w:jc w:val="center"/>
            </w:pPr>
            <w:r>
              <w:rPr>
                <w:b w:val="false"/>
                <w:bCs w:val="false"/>
                <w:color w:val="000000"/>
                <w:sz w:val="20"/>
                <w:szCs w:val="20"/>
              </w:rPr>
              <w:t xml:space="preserve">$3,000</w:t>
            </w:r>
          </w:p>
        </w:tc>
        <w:tc>
          <w:tcPr>
            <w:tcW w:type="dxa" w:w="2300"/>
            <w:tcMar>
              <w:top w:type="dxa" w:w="80"/>
              <w:left w:type="dxa" w:w="100"/>
              <w:bottom w:type="dxa" w:w="80"/>
              <w:right w:type="dxa" w:w="100"/>
            </w:tcMar>
            <w:vAlign w:val="center"/>
          </w:tcPr>
          <w:p>
            <w:pPr>
              <w:jc w:val="center"/>
            </w:pPr>
            <w:r>
              <w:rPr>
                <w:b w:val="false"/>
                <w:bCs w:val="false"/>
                <w:color w:val="000000"/>
                <w:sz w:val="20"/>
                <w:szCs w:val="20"/>
              </w:rPr>
              <w:t xml:space="preserve">50% (mín. $1,500 c/u)</w:t>
            </w:r>
          </w:p>
        </w:tc>
      </w:tr>
    </w:tbl>
    <w:p>
      <w:pPr>
        <w:pStyle w:val="ListParagraph"/>
        <w:numPr>
          <w:ilvl w:val="0"/>
          <w:numId w:val="1"/>
        </w:numPr>
        <w:spacing w:after="80"/>
      </w:pPr>
      <w:r>
        <w:t xml:space="preserve">Producción grupal: 1 punto = 1 peso mexicano invertido por el equipo (precio emprendedora), excluyendo compras de Souvenirs. Incluye solo compras del equipo (todos los niveles hacia abajo); NO incluye la compra personal de la líder.</w:t>
      </w:r>
    </w:p>
    <w:p>
      <w:pPr>
        <w:pStyle w:val="ListParagraph"/>
        <w:numPr>
          <w:ilvl w:val="0"/>
          <w:numId w:val="1"/>
        </w:numPr>
        <w:spacing w:after="80"/>
      </w:pPr>
      <w:r>
        <w:t xml:space="preserve">Emprendedora "activa": compra mínima de $500 precio emprendedora en el mes (los Souvenirs sí cuentan para esto).</w:t>
      </w:r>
    </w:p>
    <w:p>
      <w:pPr>
        <w:pStyle w:val="ListParagraph"/>
        <w:numPr>
          <w:ilvl w:val="0"/>
          <w:numId w:val="1"/>
        </w:numPr>
        <w:spacing w:after="80"/>
      </w:pPr>
      <w:r>
        <w:t xml:space="preserve">Compra personal mínima de la líder ($1,500 / $3,000): debe cumplirse en AMBOS periodos del mes (1-15 y 16-fin). Los Souvenirs sí cuentan para este requisito.</w:t>
      </w:r>
    </w:p>
    <w:p>
      <w:pPr>
        <w:pStyle w:val="ListParagraph"/>
        <w:numPr>
          <w:ilvl w:val="0"/>
          <w:numId w:val="1"/>
        </w:numPr>
        <w:spacing w:after="80"/>
      </w:pPr>
      <w:r>
        <w:t xml:space="preserve">Equipo calificado: se revisan todas las personas del equipo sin importar el nivel. De las que resultan activas, al menos el 30% (o 50% en Diamante/Corona) deben tener compra mínima de $1,500 en CADA periodo del mes. Los Souvenirs sí cuentan para este cálculo.</w:t>
      </w:r>
    </w:p>
    <w:p>
      <w:pPr>
        <w:pStyle w:val="Heading2"/>
        <w:spacing w:after="150" w:before="300"/>
      </w:pPr>
      <w:r>
        <w:t xml:space="preserve">7.3 Porcentaje de comisión por nivel y rango</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1900"/>
        <w:gridCol w:w="1900"/>
      </w:tblGrid>
      <w:tr>
        <w:trPr>
          <w:cantSplit/>
        </w:trPr>
        <w:tc>
          <w:tcPr>
            <w:tcW w:type="dxa" w:w="1600"/>
            <w:shd w:fill="5E1A8A" w:val="clear"/>
            <w:tcMar>
              <w:top w:type="dxa" w:w="80"/>
              <w:left w:type="dxa" w:w="100"/>
              <w:bottom w:type="dxa" w:w="80"/>
              <w:right w:type="dxa" w:w="100"/>
            </w:tcMar>
            <w:vAlign w:val="center"/>
          </w:tcPr>
          <w:p>
            <w:pPr>
              <w:jc w:val="center"/>
            </w:pPr>
            <w:r>
              <w:rPr>
                <w:b/>
                <w:bCs/>
                <w:color w:val="FFFFFF"/>
                <w:sz w:val="20"/>
                <w:szCs w:val="20"/>
              </w:rPr>
              <w:t xml:space="preserve">Nivel</w:t>
            </w:r>
          </w:p>
        </w:tc>
        <w:tc>
          <w:tcPr>
            <w:tcW w:type="dxa" w:w="1700"/>
            <w:shd w:fill="5E1A8A" w:val="clear"/>
            <w:tcMar>
              <w:top w:type="dxa" w:w="80"/>
              <w:left w:type="dxa" w:w="100"/>
              <w:bottom w:type="dxa" w:w="80"/>
              <w:right w:type="dxa" w:w="100"/>
            </w:tcMar>
            <w:vAlign w:val="center"/>
          </w:tcPr>
          <w:p>
            <w:pPr>
              <w:jc w:val="center"/>
            </w:pPr>
            <w:r>
              <w:rPr>
                <w:b/>
                <w:bCs/>
                <w:color w:val="FFFFFF"/>
                <w:sz w:val="20"/>
                <w:szCs w:val="20"/>
              </w:rPr>
              <w:t xml:space="preserve">Sin rango</w:t>
            </w:r>
          </w:p>
        </w:tc>
        <w:tc>
          <w:tcPr>
            <w:tcW w:type="dxa" w:w="1700"/>
            <w:shd w:fill="5E1A8A" w:val="clear"/>
            <w:tcMar>
              <w:top w:type="dxa" w:w="80"/>
              <w:left w:type="dxa" w:w="100"/>
              <w:bottom w:type="dxa" w:w="80"/>
              <w:right w:type="dxa" w:w="100"/>
            </w:tcMar>
            <w:vAlign w:val="center"/>
          </w:tcPr>
          <w:p>
            <w:pPr>
              <w:jc w:val="center"/>
            </w:pPr>
            <w:r>
              <w:rPr>
                <w:b/>
                <w:bCs/>
                <w:color w:val="FFFFFF"/>
                <w:sz w:val="20"/>
                <w:szCs w:val="20"/>
              </w:rPr>
              <w:t xml:space="preserve">Plata</w:t>
            </w:r>
          </w:p>
        </w:tc>
        <w:tc>
          <w:tcPr>
            <w:tcW w:type="dxa" w:w="1700"/>
            <w:shd w:fill="5E1A8A" w:val="clear"/>
            <w:tcMar>
              <w:top w:type="dxa" w:w="80"/>
              <w:left w:type="dxa" w:w="100"/>
              <w:bottom w:type="dxa" w:w="80"/>
              <w:right w:type="dxa" w:w="100"/>
            </w:tcMar>
            <w:vAlign w:val="center"/>
          </w:tcPr>
          <w:p>
            <w:pPr>
              <w:jc w:val="center"/>
            </w:pPr>
            <w:r>
              <w:rPr>
                <w:b/>
                <w:bCs/>
                <w:color w:val="FFFFFF"/>
                <w:sz w:val="20"/>
                <w:szCs w:val="20"/>
              </w:rPr>
              <w:t xml:space="preserve">Oro</w:t>
            </w:r>
          </w:p>
        </w:tc>
        <w:tc>
          <w:tcPr>
            <w:tcW w:type="dxa" w:w="1900"/>
            <w:shd w:fill="5E1A8A" w:val="clear"/>
            <w:tcMar>
              <w:top w:type="dxa" w:w="80"/>
              <w:left w:type="dxa" w:w="100"/>
              <w:bottom w:type="dxa" w:w="80"/>
              <w:right w:type="dxa" w:w="100"/>
            </w:tcMar>
            <w:vAlign w:val="center"/>
          </w:tcPr>
          <w:p>
            <w:pPr>
              <w:jc w:val="center"/>
            </w:pPr>
            <w:r>
              <w:rPr>
                <w:b/>
                <w:bCs/>
                <w:color w:val="FFFFFF"/>
                <w:sz w:val="20"/>
                <w:szCs w:val="20"/>
              </w:rPr>
              <w:t xml:space="preserve">Diamante</w:t>
            </w:r>
          </w:p>
        </w:tc>
        <w:tc>
          <w:tcPr>
            <w:tcW w:type="dxa" w:w="1900"/>
            <w:shd w:fill="5E1A8A" w:val="clear"/>
            <w:tcMar>
              <w:top w:type="dxa" w:w="80"/>
              <w:left w:type="dxa" w:w="100"/>
              <w:bottom w:type="dxa" w:w="80"/>
              <w:right w:type="dxa" w:w="100"/>
            </w:tcMar>
            <w:vAlign w:val="center"/>
          </w:tcPr>
          <w:p>
            <w:pPr>
              <w:jc w:val="center"/>
            </w:pPr>
            <w:r>
              <w:rPr>
                <w:b/>
                <w:bCs/>
                <w:color w:val="FFFFFF"/>
                <w:sz w:val="20"/>
                <w:szCs w:val="20"/>
              </w:rPr>
              <w:t xml:space="preserve">Corona</w:t>
            </w:r>
          </w:p>
        </w:tc>
      </w:tr>
      <w:tr>
        <w:trPr>
          <w:cantSplit/>
        </w:trPr>
        <w:tc>
          <w:tcPr>
            <w:tcW w:type="dxa" w:w="1600"/>
            <w:tcMar>
              <w:top w:type="dxa" w:w="80"/>
              <w:left w:type="dxa" w:w="100"/>
              <w:bottom w:type="dxa" w:w="80"/>
              <w:right w:type="dxa" w:w="100"/>
            </w:tcMar>
            <w:vAlign w:val="center"/>
          </w:tcPr>
          <w:p>
            <w:pPr>
              <w:jc w:val="center"/>
            </w:pPr>
            <w:r>
              <w:rPr>
                <w:b w:val="false"/>
                <w:bCs w:val="false"/>
                <w:color w:val="000000"/>
                <w:sz w:val="20"/>
                <w:szCs w:val="20"/>
              </w:rPr>
              <w:t xml:space="preserve">1er</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10%</w:t>
            </w:r>
          </w:p>
        </w:tc>
      </w:tr>
      <w:tr>
        <w:trPr>
          <w:cantSplit/>
        </w:trPr>
        <w:tc>
          <w:tcPr>
            <w:tcW w:type="dxa" w:w="1600"/>
            <w:tcMar>
              <w:top w:type="dxa" w:w="80"/>
              <w:left w:type="dxa" w:w="100"/>
              <w:bottom w:type="dxa" w:w="80"/>
              <w:right w:type="dxa" w:w="100"/>
            </w:tcMar>
            <w:vAlign w:val="center"/>
          </w:tcPr>
          <w:p>
            <w:pPr>
              <w:jc w:val="center"/>
            </w:pPr>
            <w:r>
              <w:rPr>
                <w:b w:val="false"/>
                <w:bCs w:val="false"/>
                <w:color w:val="000000"/>
                <w:sz w:val="20"/>
                <w:szCs w:val="20"/>
              </w:rPr>
              <w:t xml:space="preserve">2°</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10%</w:t>
            </w:r>
          </w:p>
        </w:tc>
      </w:tr>
      <w:tr>
        <w:trPr>
          <w:cantSplit/>
        </w:trPr>
        <w:tc>
          <w:tcPr>
            <w:tcW w:type="dxa" w:w="1600"/>
            <w:tcMar>
              <w:top w:type="dxa" w:w="80"/>
              <w:left w:type="dxa" w:w="100"/>
              <w:bottom w:type="dxa" w:w="80"/>
              <w:right w:type="dxa" w:w="100"/>
            </w:tcMar>
            <w:vAlign w:val="center"/>
          </w:tcPr>
          <w:p>
            <w:pPr>
              <w:jc w:val="center"/>
            </w:pPr>
            <w:r>
              <w:rPr>
                <w:b w:val="false"/>
                <w:bCs w:val="false"/>
                <w:color w:val="000000"/>
                <w:sz w:val="20"/>
                <w:szCs w:val="20"/>
              </w:rPr>
              <w:t xml:space="preserve">3er</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5%</w:t>
            </w:r>
          </w:p>
        </w:tc>
      </w:tr>
      <w:tr>
        <w:trPr>
          <w:cantSplit/>
        </w:trPr>
        <w:tc>
          <w:tcPr>
            <w:tcW w:type="dxa" w:w="1600"/>
            <w:tcMar>
              <w:top w:type="dxa" w:w="80"/>
              <w:left w:type="dxa" w:w="100"/>
              <w:bottom w:type="dxa" w:w="80"/>
              <w:right w:type="dxa" w:w="100"/>
            </w:tcMar>
            <w:vAlign w:val="center"/>
          </w:tcPr>
          <w:p>
            <w:pPr>
              <w:jc w:val="center"/>
            </w:pPr>
            <w:r>
              <w:rPr>
                <w:b w:val="false"/>
                <w:bCs w:val="false"/>
                <w:color w:val="000000"/>
                <w:sz w:val="20"/>
                <w:szCs w:val="20"/>
              </w:rPr>
              <w:t xml:space="preserve">4°</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2%</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3%</w:t>
            </w:r>
          </w:p>
        </w:tc>
      </w:tr>
      <w:tr>
        <w:trPr>
          <w:cantSplit/>
        </w:trPr>
        <w:tc>
          <w:tcPr>
            <w:tcW w:type="dxa" w:w="1600"/>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1%</w:t>
            </w:r>
          </w:p>
        </w:tc>
      </w:tr>
    </w:tbl>
    <w:p>
      <w:pPr>
        <w:pStyle w:val="ListParagraph"/>
        <w:numPr>
          <w:ilvl w:val="0"/>
          <w:numId w:val="1"/>
        </w:numPr>
        <w:spacing w:after="80"/>
      </w:pPr>
      <w:r>
        <w:t xml:space="preserve">Niveles y rangos marcados con "—" no generan comisión (0%). Las compras de Souvenirs tampoco generan comisión, sin importar el nivel o rango.</w:t>
      </w:r>
    </w:p>
    <w:p>
      <w:pPr>
        <w:pStyle w:val="Heading2"/>
        <w:spacing w:after="150" w:before="300"/>
      </w:pPr>
      <w:r>
        <w:t xml:space="preserve">7.4 Fórmula de cálculo</w:t>
      </w:r>
    </w:p>
    <w:p>
      <w:pPr>
        <w:pStyle w:val="ListParagraph"/>
        <w:numPr>
          <w:ilvl w:val="0"/>
          <w:numId w:val="1"/>
        </w:numPr>
        <w:spacing w:after="80"/>
      </w:pPr>
      <w:r>
        <w:t xml:space="preserve">Por cada compra (que no sea Souvenir) de una integrante del equipo: Comisión = (monto total de la compra ÷ 1.16) × % según el nivel de esa persona y el rango de la líder.</w:t>
      </w:r>
    </w:p>
    <w:p>
      <w:pPr>
        <w:pStyle w:val="ListParagraph"/>
        <w:numPr>
          <w:ilvl w:val="0"/>
          <w:numId w:val="1"/>
        </w:numPr>
        <w:spacing w:after="80"/>
      </w:pPr>
      <w:r>
        <w:t xml:space="preserve">El rango que se usa es el que la líder logró el MES ANTERIOR (evaluado al cerrar el 2° periodo de ese mes) — se mantiene fijo durante todo el mes actual.</w:t>
      </w:r>
    </w:p>
    <w:p>
      <w:pPr>
        <w:pStyle w:val="ListParagraph"/>
        <w:numPr>
          <w:ilvl w:val="0"/>
          <w:numId w:val="1"/>
        </w:numPr>
        <w:spacing w:after="80"/>
      </w:pPr>
      <w:r>
        <w:t xml:space="preserve">El nuevo rango que la líder logre en el mes actual se evalúa al cerrar su 2° periodo, y regirá las comisiones del mes SIGUIENTE completo.</w:t>
      </w:r>
    </w:p>
    <w:p>
      <w:pPr>
        <w:pStyle w:val="Heading2"/>
        <w:spacing w:after="150" w:before="300"/>
      </w:pPr>
      <w:r>
        <w:t xml:space="preserve">7.5 Periodos y calendario de pago</w:t>
      </w:r>
    </w:p>
    <w:p>
      <w:pPr>
        <w:pStyle w:val="ListParagraph"/>
        <w:numPr>
          <w:ilvl w:val="0"/>
          <w:numId w:val="1"/>
        </w:numPr>
        <w:spacing w:after="80"/>
      </w:pPr>
      <w:r>
        <w:t xml:space="preserve">Periodo 1: días 1 al 15. Se paga el día 20 del mismo mes.</w:t>
      </w:r>
    </w:p>
    <w:p>
      <w:pPr>
        <w:pStyle w:val="ListParagraph"/>
        <w:numPr>
          <w:ilvl w:val="0"/>
          <w:numId w:val="1"/>
        </w:numPr>
        <w:spacing w:after="80"/>
      </w:pPr>
      <w:r>
        <w:t xml:space="preserve">Periodo 2: día 16 al último día del mes. Se paga el día 5 del mes siguiente.</w:t>
      </w:r>
    </w:p>
    <w:p>
      <w:pPr>
        <w:pStyle w:val="Heading2"/>
        <w:spacing w:after="150" w:before="300"/>
      </w:pPr>
      <w:r>
        <w:t xml:space="preserve">7.6 Bonos por alcanzar rango (pago único)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rPr>
          <w:cantSplit/>
        </w:trPr>
        <w:tc>
          <w:tcPr>
            <w:tcW w:type="dxa" w:w="2200"/>
            <w:shd w:fill="5E1A8A" w:val="clear"/>
            <w:tcMar>
              <w:top w:type="dxa" w:w="80"/>
              <w:left w:type="dxa" w:w="100"/>
              <w:bottom w:type="dxa" w:w="80"/>
              <w:right w:type="dxa" w:w="100"/>
            </w:tcMar>
            <w:vAlign w:val="center"/>
          </w:tcPr>
          <w:p>
            <w:pPr>
              <w:jc w:val="center"/>
            </w:pPr>
            <w:r>
              <w:rPr>
                <w:b/>
                <w:bCs/>
                <w:color w:val="FFFFFF"/>
                <w:sz w:val="20"/>
                <w:szCs w:val="20"/>
              </w:rPr>
              <w:t xml:space="preserve">Plata</w:t>
            </w:r>
          </w:p>
        </w:tc>
        <w:tc>
          <w:tcPr>
            <w:tcW w:type="dxa" w:w="2200"/>
            <w:shd w:fill="5E1A8A" w:val="clear"/>
            <w:tcMar>
              <w:top w:type="dxa" w:w="80"/>
              <w:left w:type="dxa" w:w="100"/>
              <w:bottom w:type="dxa" w:w="80"/>
              <w:right w:type="dxa" w:w="100"/>
            </w:tcMar>
            <w:vAlign w:val="center"/>
          </w:tcPr>
          <w:p>
            <w:pPr>
              <w:jc w:val="center"/>
            </w:pPr>
            <w:r>
              <w:rPr>
                <w:b/>
                <w:bCs/>
                <w:color w:val="FFFFFF"/>
                <w:sz w:val="20"/>
                <w:szCs w:val="20"/>
              </w:rPr>
              <w:t xml:space="preserve">Oro</w:t>
            </w:r>
          </w:p>
        </w:tc>
        <w:tc>
          <w:tcPr>
            <w:tcW w:type="dxa" w:w="2200"/>
            <w:shd w:fill="5E1A8A" w:val="clear"/>
            <w:tcMar>
              <w:top w:type="dxa" w:w="80"/>
              <w:left w:type="dxa" w:w="100"/>
              <w:bottom w:type="dxa" w:w="80"/>
              <w:right w:type="dxa" w:w="100"/>
            </w:tcMar>
            <w:vAlign w:val="center"/>
          </w:tcPr>
          <w:p>
            <w:pPr>
              <w:jc w:val="center"/>
            </w:pPr>
            <w:r>
              <w:rPr>
                <w:b/>
                <w:bCs/>
                <w:color w:val="FFFFFF"/>
                <w:sz w:val="20"/>
                <w:szCs w:val="20"/>
              </w:rPr>
              <w:t xml:space="preserve">Diamante</w:t>
            </w:r>
          </w:p>
        </w:tc>
        <w:tc>
          <w:tcPr>
            <w:tcW w:type="dxa" w:w="2200"/>
            <w:shd w:fill="5E1A8A" w:val="clear"/>
            <w:tcMar>
              <w:top w:type="dxa" w:w="80"/>
              <w:left w:type="dxa" w:w="100"/>
              <w:bottom w:type="dxa" w:w="80"/>
              <w:right w:type="dxa" w:w="100"/>
            </w:tcMar>
            <w:vAlign w:val="center"/>
          </w:tcPr>
          <w:p>
            <w:pPr>
              <w:jc w:val="center"/>
            </w:pPr>
            <w:r>
              <w:rPr>
                <w:b/>
                <w:bCs/>
                <w:color w:val="FFFFFF"/>
                <w:sz w:val="20"/>
                <w:szCs w:val="20"/>
              </w:rPr>
              <w:t xml:space="preserve">Corona</w:t>
            </w:r>
          </w:p>
        </w:tc>
      </w:tr>
      <w:tr>
        <w:trPr>
          <w:cantSplit/>
        </w:trPr>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$2,500</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$3,500</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$5,000</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$10,000</w:t>
            </w:r>
          </w:p>
        </w:tc>
      </w:tr>
    </w:tbl>
    <w:p>
      <w:pPr>
        <w:pStyle w:val="ListParagraph"/>
        <w:numPr>
          <w:ilvl w:val="0"/>
          <w:numId w:val="1"/>
        </w:numPr>
        <w:spacing w:after="80"/>
      </w:pPr>
      <w:r>
        <w:t xml:space="preserve">El bono se paga UNA SOLA VEZ: la primera vez que la líder alcanza ese rango. Si lo pierde y lo recupera después, no se vuelve a pagar.</w:t>
      </w:r>
    </w:p>
    <w:p>
      <w:pPr>
        <w:pStyle w:val="Heading2"/>
        <w:spacing w:after="150" w:before="300"/>
      </w:pPr>
      <w:r>
        <w:t xml:space="preserve">7.7 Rango inicial de una líder nueva</w:t>
      </w:r>
    </w:p>
    <w:p>
      <w:pPr>
        <w:pStyle w:val="ListParagraph"/>
        <w:numPr>
          <w:ilvl w:val="0"/>
          <w:numId w:val="1"/>
        </w:numPr>
        <w:spacing w:after="80"/>
      </w:pPr>
      <w:r>
        <w:t xml:space="preserve">Por default, una líder nueva empieza "Sin Rango", ya que no existe un "mes anterior" registrado.</w:t>
      </w:r>
    </w:p>
    <w:p>
      <w:pPr>
        <w:pStyle w:val="ListParagraph"/>
        <w:numPr>
          <w:ilvl w:val="0"/>
          <w:numId w:val="1"/>
        </w:numPr>
        <w:spacing w:after="80"/>
      </w:pPr>
      <w:r>
        <w:t xml:space="preserve">Excepción: el administrativo puede asignarle un rango manualmente al darla de alta, si la señora decide reconocerle un rango previo (ej. una líder Corona que operaba fuera del sistema antes).</w:t>
      </w:r>
    </w:p>
    <w:p>
      <w:pPr>
        <w:pStyle w:val="Heading2"/>
        <w:spacing w:after="150" w:before="300"/>
      </w:pPr>
      <w:r>
        <w:t xml:space="preserve">7.8 Ciclo de vida de la relación líder–emprendedora</w:t>
      </w:r>
    </w:p>
    <w:p>
      <w:pPr>
        <w:pStyle w:val="ListParagraph"/>
        <w:numPr>
          <w:ilvl w:val="0"/>
          <w:numId w:val="1"/>
        </w:numPr>
        <w:spacing w:after="80"/>
      </w:pPr>
      <w:r>
        <w:t xml:space="preserve">No existe función de "reasignar" a una emprendedora a otra líder mientras esté activa.</w:t>
      </w:r>
    </w:p>
    <w:p>
      <w:pPr>
        <w:pStyle w:val="ListParagraph"/>
        <w:numPr>
          <w:ilvl w:val="0"/>
          <w:numId w:val="1"/>
        </w:numPr>
        <w:spacing w:after="80"/>
      </w:pPr>
      <w:r>
        <w:t xml:space="preserve">Cláusula de términos y condiciones: si una emprendedora deja de estar activa 6 meses consecutivos, puede darse de baja del sistema y, si se reincorpora después, entra como cuenta nueva bajo una líder diferente.</w:t>
      </w:r>
    </w:p>
    <w:p>
      <w:pPr>
        <w:pStyle w:val="ListParagraph"/>
        <w:numPr>
          <w:ilvl w:val="0"/>
          <w:numId w:val="1"/>
        </w:numPr>
        <w:spacing w:after="80"/>
      </w:pPr>
      <w:r>
        <w:t xml:space="preserve">Una líder no puede autoejecutar su propia baja: solicita darse de baja, y únicamente un Administrativo puede ejecutarla.</w:t>
      </w:r>
    </w:p>
    <w:p>
      <w:pPr>
        <w:pStyle w:val="ListParagraph"/>
        <w:numPr>
          <w:ilvl w:val="0"/>
          <w:numId w:val="1"/>
        </w:numPr>
        <w:spacing w:after="80"/>
      </w:pPr>
      <w:r>
        <w:t xml:space="preserve">Al ejecutarse la baja de una líder, su equipo se comprime hacia el líder inmediato superior. Si no existe líder superior, un Administrativo reasigna el equipo manualmente.</w:t>
      </w:r>
    </w:p>
    <w:p>
      <w:pPr>
        <w:pStyle w:val="Heading1"/>
        <w:spacing w:after="200" w:before="400"/>
      </w:pPr>
      <w:r>
        <w:t xml:space="preserve">8. Plan de compensación y fidelidad de emprendedoras</w:t>
      </w:r>
    </w:p>
    <w:p>
      <w:pPr>
        <w:pStyle w:val="Heading2"/>
        <w:spacing w:after="150" w:before="300"/>
      </w:pPr>
      <w:r>
        <w:t xml:space="preserve">8.1 Reto de Constancia</w:t>
      </w:r>
    </w:p>
    <w:p>
      <w:pPr>
        <w:pStyle w:val="ListParagraph"/>
        <w:numPr>
          <w:ilvl w:val="0"/>
          <w:numId w:val="1"/>
        </w:numPr>
        <w:spacing w:after="80"/>
      </w:pPr>
      <w:r>
        <w:t xml:space="preserve">Cada mes calendario, la emprendedora debe comprar $8,000 precio emprendedora (sin contar Souvenirs) para que ese mes cuente como "cumplido".</w:t>
      </w:r>
    </w:p>
    <w:p>
      <w:pPr>
        <w:pStyle w:val="ListParagraph"/>
        <w:numPr>
          <w:ilvl w:val="0"/>
          <w:numId w:val="1"/>
        </w:numPr>
        <w:spacing w:after="80"/>
      </w:pPr>
      <w:r>
        <w:t xml:space="preserve">Si un mes no llega a $8,000, ese mes simplemente no se cuenta como cumplido — pero NO reinicia el contador de meses cumplidos acumulados de por vida.</w:t>
      </w:r>
    </w:p>
    <w:p>
      <w:pPr>
        <w:pStyle w:val="ListParagraph"/>
        <w:numPr>
          <w:ilvl w:val="0"/>
          <w:numId w:val="1"/>
        </w:numPr>
        <w:spacing w:after="80"/>
      </w:pPr>
      <w:r>
        <w:t xml:space="preserve">Si compra de más en un mes, el excedente se acumula únicamente hacia el mes siguiente (no se acumula indefinidamente más allá de eso).</w:t>
      </w:r>
    </w:p>
    <w:p>
      <w:pPr>
        <w:pStyle w:val="ListParagraph"/>
        <w:numPr>
          <w:ilvl w:val="0"/>
          <w:numId w:val="1"/>
        </w:numPr>
        <w:spacing w:after="80"/>
      </w:pPr>
      <w:r>
        <w:t xml:space="preserve">Premios por meses cumplidos (de por vida, no necesitan ser consecutivos): 6° mes = tablet · 8° mes = pantalla de 43'' · 10° mes = laptop · 12° mes = viaje todo incluido para dos personas.</w:t>
      </w:r>
    </w:p>
    <w:p>
      <w:pPr>
        <w:pStyle w:val="ListParagraph"/>
        <w:numPr>
          <w:ilvl w:val="0"/>
          <w:numId w:val="1"/>
        </w:numPr>
        <w:spacing w:after="80"/>
      </w:pPr>
      <w:r>
        <w:t xml:space="preserve">Si una emprendedora completa todos los premios, se abre una categoría nueva con requisitos y premios nuevos — no se reinicia el conteo.</w:t>
      </w:r>
    </w:p>
    <w:p>
      <w:pPr>
        <w:pStyle w:val="Heading2"/>
        <w:spacing w:after="150" w:before="300"/>
      </w:pPr>
      <w:r>
        <w:t xml:space="preserve">8.2 Rifas mensuales</w:t>
      </w:r>
    </w:p>
    <w:p>
      <w:pPr>
        <w:pStyle w:val="ListParagraph"/>
        <w:numPr>
          <w:ilvl w:val="0"/>
          <w:numId w:val="1"/>
        </w:numPr>
        <w:spacing w:after="80"/>
      </w:pPr>
      <w:r>
        <w:t xml:space="preserve">Se evalúan por mes calendario completo (del día 1 al último día del mes).</w:t>
      </w:r>
    </w:p>
    <w:p>
      <w:pPr>
        <w:pStyle w:val="ListParagraph"/>
        <w:numPr>
          <w:ilvl w:val="0"/>
          <w:numId w:val="1"/>
        </w:numPr>
        <w:spacing w:after="80"/>
      </w:pPr>
      <w:r>
        <w:t xml:space="preserve">Acumular $3,000 precio emprendedora en el mes (sin contar Souvenirs) = 1 boleto para la rifa del mes siguiente, vinculada al desayuno-rifa mensual del día 15 (Sección 9).</w:t>
      </w:r>
    </w:p>
    <w:p>
      <w:pPr>
        <w:pStyle w:val="ListParagraph"/>
        <w:numPr>
          <w:ilvl w:val="0"/>
          <w:numId w:val="1"/>
        </w:numPr>
        <w:spacing w:after="80"/>
      </w:pPr>
      <w:r>
        <w:t xml:space="preserve">Cada $1,000 adicional de compra = 1 boleto extra (más oportunidades de ganar).</w:t>
      </w:r>
    </w:p>
    <w:p>
      <w:pPr>
        <w:pStyle w:val="ListParagraph"/>
        <w:numPr>
          <w:ilvl w:val="0"/>
          <w:numId w:val="1"/>
        </w:numPr>
        <w:spacing w:after="80"/>
      </w:pPr>
      <w:r>
        <w:t xml:space="preserve">Las mismas compras que cuentan para el Reto de Constancia cuentan también para las Rifas — no son montos separados.</w:t>
      </w:r>
    </w:p>
    <w:p>
      <w:pPr>
        <w:pStyle w:val="Heading2"/>
        <w:spacing w:after="150" w:before="300"/>
      </w:pPr>
      <w:r>
        <w:t xml:space="preserve">8.3 "Ventajas del Plan MW" — página pública</w:t>
      </w:r>
    </w:p>
    <w:p>
      <w:pPr>
        <w:pStyle w:val="ListParagraph"/>
        <w:numPr>
          <w:ilvl w:val="0"/>
          <w:numId w:val="1"/>
        </w:numPr>
        <w:spacing w:after="80"/>
      </w:pPr>
      <w:r>
        <w:t xml:space="preserve">Debe existir un apartado del sitio, visible para TODOS (público general y usuarios con cuenta), que explique la ESTRUCTURA del plan: tabla de % de comisión por nivel/rango, % de descuento de mayoreo, premios del Reto de Constancia, y mecánica de las rifas.</w:t>
      </w:r>
    </w:p>
    <w:p>
      <w:pPr>
        <w:pStyle w:val="ListParagraph"/>
        <w:numPr>
          <w:ilvl w:val="0"/>
          <w:numId w:val="1"/>
        </w:numPr>
        <w:spacing w:after="80"/>
      </w:pPr>
      <w:r>
        <w:t xml:space="preserve">Los montos y logros REALES de cada persona (cuánto ha comprado, cuánto ha ganado en comisiones, cuántos boletos tiene acumulados) siguen siendo información privada — visibles únicamente para ella misma y Administrativos (ver Sección 14).</w:t>
      </w:r>
    </w:p>
    <w:p>
      <w:pPr>
        <w:pStyle w:val="Heading1"/>
        <w:spacing w:after="200" w:before="400"/>
      </w:pPr>
      <w:r>
        <w:t xml:space="preserve">9. Calendario de actividades</w:t>
      </w:r>
    </w:p>
    <w:p>
      <w:pPr>
        <w:pStyle w:val="ListParagraph"/>
        <w:numPr>
          <w:ilvl w:val="0"/>
          <w:numId w:val="1"/>
        </w:numPr>
        <w:spacing w:after="80"/>
      </w:pPr>
      <w:r>
        <w:t xml:space="preserve">Visible solo para roles con cuenta (emprendedora, líder, staff, administrativo) — no es público.</w:t>
      </w:r>
    </w:p>
    <w:p>
      <w:pPr>
        <w:pStyle w:val="ListParagraph"/>
        <w:numPr>
          <w:ilvl w:val="0"/>
          <w:numId w:val="1"/>
        </w:numPr>
        <w:spacing w:after="80"/>
      </w:pPr>
      <w:r>
        <w:t xml:space="preserve">Editable por staff y administrativos.</w:t>
      </w:r>
    </w:p>
    <w:p>
      <w:pPr>
        <w:pStyle w:val="ListParagraph"/>
        <w:numPr>
          <w:ilvl w:val="0"/>
          <w:numId w:val="1"/>
        </w:numPr>
        <w:spacing w:after="80"/>
      </w:pPr>
      <w:r>
        <w:t xml:space="preserve">Debe incluir al menos: desayuno-rifa mensual (día 15, sortea los boletos acumulados el mes anterior — ver 8.2), gala anual, y otros eventos que el equipo agregue.</w:t>
      </w:r>
    </w:p>
    <w:p>
      <w:pPr>
        <w:pStyle w:val="Heading1"/>
        <w:spacing w:after="200" w:before="400"/>
      </w:pPr>
      <w:r>
        <w:t xml:space="preserve">10. Identidad de marca</w:t>
      </w:r>
    </w:p>
    <w:p>
      <w:pPr>
        <w:pStyle w:val="ListParagraph"/>
        <w:numPr>
          <w:ilvl w:val="0"/>
          <w:numId w:val="1"/>
        </w:numPr>
        <w:spacing w:after="80"/>
      </w:pPr>
      <w:r>
        <w:t xml:space="preserve">Colores: morado primario #5E1A8A, lila #B597E5, crema #FCFAF8, dorado #C9A227 (provisional).</w:t>
      </w:r>
    </w:p>
    <w:p>
      <w:pPr>
        <w:pStyle w:val="ListParagraph"/>
        <w:numPr>
          <w:ilvl w:val="0"/>
          <w:numId w:val="1"/>
        </w:numPr>
        <w:spacing w:after="80"/>
      </w:pPr>
      <w:r>
        <w:t xml:space="preserve">Tipografía: Cinzel (encabezados), Poppins (cuerpo), Zing Rust Script (uso puntual).</w:t>
      </w:r>
    </w:p>
    <w:p>
      <w:pPr>
        <w:pStyle w:val="ListParagraph"/>
        <w:numPr>
          <w:ilvl w:val="0"/>
          <w:numId w:val="1"/>
        </w:numPr>
        <w:spacing w:after="80"/>
      </w:pPr>
      <w:r>
        <w:t xml:space="preserve">Tono: elegante, aspiracional, profesional, cálido — nunca informal.</w:t>
      </w:r>
    </w:p>
    <w:p>
      <w:pPr>
        <w:pStyle w:val="Heading1"/>
        <w:spacing w:after="200" w:before="400"/>
      </w:pPr>
      <w:r>
        <w:t xml:space="preserve">11. Infraestructura técnica propuesta</w:t>
      </w:r>
    </w:p>
    <w:p>
      <w:pPr>
        <w:pStyle w:val="ListParagraph"/>
        <w:numPr>
          <w:ilvl w:val="0"/>
          <w:numId w:val="1"/>
        </w:numPr>
        <w:spacing w:after="80"/>
      </w:pPr>
      <w:r>
        <w:t xml:space="preserve">Hosting: GitHub Pages con dominio personalizado (mwjoyeriayaccesorios.com vía GoDaddy DNS) — mismo enfoque que la app de la Gala.</w:t>
      </w:r>
    </w:p>
    <w:p>
      <w:pPr>
        <w:pStyle w:val="ListParagraph"/>
        <w:numPr>
          <w:ilvl w:val="0"/>
          <w:numId w:val="1"/>
        </w:numPr>
        <w:spacing w:after="80"/>
      </w:pPr>
      <w:r>
        <w:t xml:space="preserve">Base de datos: Firebase Firestore (catálogo, usuarios, apartados, equipos, comisiones, plan de compensación, nómina, lista de deseos, calendario).</w:t>
      </w:r>
    </w:p>
    <w:p>
      <w:pPr>
        <w:pStyle w:val="ListParagraph"/>
        <w:numPr>
          <w:ilvl w:val="0"/>
          <w:numId w:val="1"/>
        </w:numPr>
        <w:spacing w:after="80"/>
      </w:pPr>
      <w:r>
        <w:t xml:space="preserve">Autenticación: Firebase Auth. Cuentas de Emprendedora, Líder, Administrativo y RH son individuales, creadas manualmente por administrativos (no hay auto-registro).</w:t>
      </w:r>
    </w:p>
    <w:p>
      <w:pPr>
        <w:pStyle w:val="ListParagraph"/>
        <w:numPr>
          <w:ilvl w:val="0"/>
          <w:numId w:val="1"/>
        </w:numPr>
        <w:spacing w:after="80"/>
      </w:pPr>
      <w:r>
        <w:t xml:space="preserve">Staff usa UNA cuenta compartida para acceder al dispositivo/sistema. Sin embargo, cada acción registrable (registrar depósito, cancelar apartado, alta de producto, etc.) y la consulta del propio recibo de nómina deben pedir el NOMBRE y la CONTRASEÑA ÚNICA de la persona que la realiza — cada una de las 8 personas de staff tiene su propia contraseña individual, distinta de la del login compartido. Así se mantiene trazabilidad real (no solo un nombre capturado libremente) sin necesidad de una cuenta de Firebase Auth completa por persona.</w:t>
      </w:r>
    </w:p>
    <w:p>
      <w:pPr>
        <w:pStyle w:val="ListParagraph"/>
        <w:numPr>
          <w:ilvl w:val="0"/>
          <w:numId w:val="1"/>
        </w:numPr>
        <w:spacing w:after="80"/>
      </w:pPr>
      <w:r>
        <w:t xml:space="preserve">Pagos: NO se procesan pagos en línea. Los $50 de depósito, pagos completos y pago de comisiones se manejan fuera del sitio y el staff/admin los registra manualmente.</w:t>
      </w:r>
    </w:p>
    <w:p>
      <w:pPr>
        <w:pStyle w:val="Heading1"/>
        <w:spacing w:after="200" w:before="400"/>
      </w:pPr>
      <w:r>
        <w:t xml:space="preserve">12. Principio transversal: cálculo automático con edición manual</w:t>
      </w:r>
    </w:p>
    <w:p>
      <w:pPr>
        <w:spacing w:after="120"/>
      </w:pPr>
      <w:r>
        <w:t xml:space="preserve">El sistema debe calcular automáticamente todo lo que se pueda (comisiones, rangos, activaciones, vencimiento de apartados, meses cumplidos de constancia, boletos de rifa, etc.), pero SIEMPRE debe existir la opción de que un Administrativo edite manualmente cualquiera de esos valores.</w:t>
      </w:r>
    </w:p>
    <w:p>
      <w:pPr>
        <w:pStyle w:val="ListParagraph"/>
        <w:numPr>
          <w:ilvl w:val="0"/>
          <w:numId w:val="1"/>
        </w:numPr>
        <w:spacing w:after="80"/>
      </w:pPr>
      <w:r>
        <w:t xml:space="preserve">Implicación de diseño: cada valor calculado automáticamente debe poder "congelarse" con un ajuste manual, sin que el siguiente cálculo automático lo sobrescriba sin aviso. Se recomienda guardar quién hizo el ajuste y cuándo, para trazabilidad.</w:t>
      </w:r>
    </w:p>
    <w:p>
      <w:pPr>
        <w:pStyle w:val="ListParagraph"/>
        <w:numPr>
          <w:ilvl w:val="0"/>
          <w:numId w:val="1"/>
        </w:numPr>
        <w:spacing w:after="80"/>
      </w:pPr>
      <w:r>
        <w:t xml:space="preserve">Para el equipo de Staff (cuenta compartida a nivel de dispositivo), esta misma trazabilidad se logra pidiendo nombre + contraseña individual del empleado en cada acción, en vez de una cuenta de Firebase Auth separada por persona (ver Sección 11).</w:t>
      </w:r>
    </w:p>
    <w:p>
      <w:pPr>
        <w:pStyle w:val="Heading1"/>
        <w:spacing w:after="200" w:before="400"/>
      </w:pPr>
      <w:r>
        <w:t xml:space="preserve">13. Fuera de alcance (por ahora)</w:t>
      </w:r>
    </w:p>
    <w:p>
      <w:pPr>
        <w:pStyle w:val="ListParagraph"/>
        <w:numPr>
          <w:ilvl w:val="0"/>
          <w:numId w:val="1"/>
        </w:numPr>
        <w:spacing w:after="80"/>
      </w:pPr>
      <w:r>
        <w:t xml:space="preserve">Checkout / pago en línea con tarjeta.</w:t>
      </w:r>
    </w:p>
    <w:p>
      <w:pPr>
        <w:pStyle w:val="ListParagraph"/>
        <w:numPr>
          <w:ilvl w:val="0"/>
          <w:numId w:val="1"/>
        </w:numPr>
        <w:spacing w:after="80"/>
      </w:pPr>
      <w:r>
        <w:t xml:space="preserve">Auto-registro de cuentas.</w:t>
      </w:r>
    </w:p>
    <w:p>
      <w:pPr>
        <w:pStyle w:val="ListParagraph"/>
        <w:numPr>
          <w:ilvl w:val="0"/>
          <w:numId w:val="1"/>
        </w:numPr>
        <w:spacing w:after="80"/>
      </w:pPr>
      <w:r>
        <w:t xml:space="preserve">Coincidencia automática de lista de deseos con catálogo nuevo (por ahora es revisión manual de staff).</w:t>
      </w:r>
    </w:p>
    <w:p>
      <w:pPr>
        <w:pStyle w:val="ListParagraph"/>
        <w:numPr>
          <w:ilvl w:val="0"/>
          <w:numId w:val="1"/>
        </w:numPr>
        <w:spacing w:after="80"/>
      </w:pPr>
      <w:r>
        <w:t xml:space="preserve">Reasignación libre de emprendedoras entre líderes (ver 7.8 — solo existe vía baja + alta).</w:t>
      </w:r>
    </w:p>
    <w:p>
      <w:pPr>
        <w:pStyle w:val="ListParagraph"/>
        <w:numPr>
          <w:ilvl w:val="0"/>
          <w:numId w:val="1"/>
        </w:numPr>
        <w:spacing w:after="80"/>
      </w:pPr>
      <w:r>
        <w:t xml:space="preserve">Baja automática de una líder por inactividad — siempre requiere solicitud de la líder y ejecución manual de un Administrativo (ver 7.8 y 15).</w:t>
      </w:r>
    </w:p>
    <w:p>
      <w:pPr>
        <w:pStyle w:val="Heading1"/>
        <w:spacing w:after="200" w:before="400"/>
      </w:pPr>
      <w:r>
        <w:t xml:space="preserve">14. Clasificación de información sensible</w:t>
      </w:r>
    </w:p>
    <w:p>
      <w:pPr>
        <w:spacing w:after="120"/>
      </w:pPr>
      <w:r>
        <w:t xml:space="preserve">Confirmado por la señora, y alineado con la matriz de permisos de la Sección 3.</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700"/>
        <w:gridCol w:w="5100"/>
      </w:tblGrid>
      <w:tr>
        <w:trPr>
          <w:cantSplit/>
        </w:trPr>
        <w:tc>
          <w:tcPr>
            <w:tcW w:type="dxa" w:w="1700"/>
            <w:shd w:fill="5E1A8A" w:val="clear"/>
            <w:tcMar>
              <w:top w:type="dxa" w:w="80"/>
              <w:left w:type="dxa" w:w="100"/>
              <w:bottom w:type="dxa" w:w="80"/>
              <w:right w:type="dxa" w:w="100"/>
            </w:tcMar>
            <w:vAlign w:val="center"/>
          </w:tcPr>
          <w:p>
            <w:pPr>
              <w:jc w:val="center"/>
            </w:pPr>
            <w:r>
              <w:rPr>
                <w:b/>
                <w:bCs/>
                <w:color w:val="FFFFFF"/>
                <w:sz w:val="20"/>
                <w:szCs w:val="20"/>
              </w:rPr>
              <w:t xml:space="preserve">Nivel</w:t>
            </w:r>
          </w:p>
        </w:tc>
        <w:tc>
          <w:tcPr>
            <w:tcW w:type="dxa" w:w="5100"/>
            <w:shd w:fill="5E1A8A" w:val="clear"/>
            <w:tcMar>
              <w:top w:type="dxa" w:w="80"/>
              <w:left w:type="dxa" w:w="100"/>
              <w:bottom w:type="dxa" w:w="80"/>
              <w:right w:type="dxa" w:w="100"/>
            </w:tcMar>
            <w:vAlign w:val="center"/>
          </w:tcPr>
          <w:p>
            <w:pPr>
              <w:jc w:val="center"/>
            </w:pPr>
            <w:r>
              <w:rPr>
                <w:b/>
                <w:bCs/>
                <w:color w:val="FFFFFF"/>
                <w:sz w:val="20"/>
                <w:szCs w:val="20"/>
              </w:rPr>
              <w:t xml:space="preserve">Información</w:t>
            </w:r>
          </w:p>
        </w:tc>
      </w:tr>
      <w:tr>
        <w:trPr>
          <w:cantSplit/>
        </w:trPr>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 Público</w:t>
            </w:r>
          </w:p>
        </w:tc>
        <w:tc>
          <w:tcPr>
            <w:tcW w:type="dxa" w:w="5100"/>
            <w:tcMar>
              <w:top w:type="dxa" w:w="80"/>
              <w:left w:type="dxa" w:w="100"/>
              <w:bottom w:type="dxa" w:w="80"/>
              <w:right w:type="dxa" w:w="100"/>
            </w:tcMar>
            <w:vAlign w:val="center"/>
          </w:tcPr>
          <w:p>
            <w:pPr>
              <w:jc w:val="center"/>
            </w:pPr>
            <w:r>
              <w:rPr>
                <w:b w:val="false"/>
                <w:bCs w:val="false"/>
                <w:color w:val="000000"/>
                <w:sz w:val="20"/>
                <w:szCs w:val="20"/>
              </w:rPr>
              <w:t xml:space="preserve">Catálogo, precio etiqueta, historia, colecciones, contacto, "Ventajas del Plan MW" (estructura del plan, no montos individuales).</w:t>
            </w:r>
          </w:p>
        </w:tc>
      </w:tr>
      <w:tr>
        <w:trPr>
          <w:cantSplit/>
        </w:trPr>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 Privado
(persona misma + su líder + Staff + Administrativo)</w:t>
            </w:r>
          </w:p>
        </w:tc>
        <w:tc>
          <w:tcPr>
            <w:tcW w:type="dxa" w:w="5100"/>
            <w:tcMar>
              <w:top w:type="dxa" w:w="80"/>
              <w:left w:type="dxa" w:w="100"/>
              <w:bottom w:type="dxa" w:w="80"/>
              <w:right w:type="dxa" w:w="100"/>
            </w:tcMar>
            <w:vAlign w:val="center"/>
          </w:tcPr>
          <w:p>
            <w:pPr>
              <w:jc w:val="center"/>
            </w:pPr>
            <w:r>
              <w:rPr>
                <w:b w:val="false"/>
                <w:bCs w:val="false"/>
                <w:color w:val="000000"/>
                <w:sz w:val="20"/>
                <w:szCs w:val="20"/>
              </w:rPr>
              <w:t xml:space="preserve">Teléfono, dirección, y demás datos operativos necesarios para apartados y logística.</w:t>
            </w:r>
          </w:p>
        </w:tc>
      </w:tr>
      <w:tr>
        <w:trPr>
          <w:cantSplit/>
        </w:trPr>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 Restringido
(persona misma + Administrativo ÚNICAMENTE — Staff NO tiene acceso)</w:t>
            </w:r>
          </w:p>
        </w:tc>
        <w:tc>
          <w:tcPr>
            <w:tcW w:type="dxa" w:w="5100"/>
            <w:tcMar>
              <w:top w:type="dxa" w:w="80"/>
              <w:left w:type="dxa" w:w="100"/>
              <w:bottom w:type="dxa" w:w="80"/>
              <w:right w:type="dxa" w:w="100"/>
            </w:tcMar>
            <w:vAlign w:val="center"/>
          </w:tcPr>
          <w:p>
            <w:pPr>
              <w:jc w:val="center"/>
            </w:pPr>
            <w:r>
              <w:rPr>
                <w:b w:val="false"/>
                <w:bCs w:val="false"/>
                <w:color w:val="000000"/>
                <w:sz w:val="20"/>
                <w:szCs w:val="20"/>
              </w:rPr>
              <w:t xml:space="preserve">Compras, comisiones, ganancias, boletos de rifa, cualquier dato financiero individual o del negocio, información de emprendedoras/líderes fuera del propio equipo, y nómina (sueldo, horas, bonos, deducciones) de cualquier empleado.</w:t>
            </w:r>
          </w:p>
        </w:tc>
      </w:tr>
    </w:tbl>
    <w:p>
      <w:pPr>
        <w:pBdr>
          <w:left w:val="single" w:color="C9A227" w:sz="12" w:space="8"/>
        </w:pBdr>
        <w:spacing w:after="200" w:before="100"/>
        <w:ind w:left="200"/>
      </w:pPr>
      <w:r>
        <w:rPr>
          <w:i/>
          <w:iCs/>
          <w:color w:val="7A5C00"/>
        </w:rPr>
        <w:t xml:space="preserve">Excepción de nómina: RH también puede ver y editar la nómina de todos (ver Sección 17). Además, cada empleado (Staff, RH, Administrativo) puede ver su propio recibo, aunque no pueda editarlo ni ver el de nadie más.</w:t>
      </w:r>
    </w:p>
    <w:p>
      <w:pPr>
        <w:pStyle w:val="Heading1"/>
        <w:spacing w:after="200" w:before="400"/>
      </w:pPr>
      <w:r>
        <w:t xml:space="preserve">15. Ciclo de vida de cuentas</w:t>
      </w:r>
    </w:p>
    <w:p>
      <w:pPr>
        <w:pBdr>
          <w:left w:val="single" w:color="C9A227" w:sz="12" w:space="8"/>
        </w:pBdr>
        <w:spacing w:after="200" w:before="100"/>
        <w:ind w:left="200"/>
      </w:pPr>
      <w:r>
        <w:rPr>
          <w:i/>
          <w:iCs/>
          <w:color w:val="7A5C00"/>
        </w:rPr>
        <w:t xml:space="preserve">Aclaración de términos: "activa" es un estatus MENSUAL (compra mínima $500/mes, usado en los cálculos de equipo de la Sección 7) y es distinto de "INACTIVA", el estado de CUENTA que se explica abajo. Son conceptos separados aunque el nombre se parezca.</w:t>
      </w:r>
    </w:p>
    <w:p>
      <w:pPr>
        <w:pStyle w:val="ListParagraph"/>
        <w:numPr>
          <w:ilvl w:val="0"/>
          <w:numId w:val="1"/>
        </w:numPr>
        <w:spacing w:after="80"/>
      </w:pPr>
      <w:r>
        <w:t xml:space="preserve">Emprendedora inactiva 6 meses consecutivos: el sistema la marca automáticamente como INACTIVA. Esto NO es la baja formal.</w:t>
      </w:r>
    </w:p>
    <w:p>
      <w:pPr>
        <w:pStyle w:val="ListParagraph"/>
        <w:numPr>
          <w:ilvl w:val="0"/>
          <w:numId w:val="1"/>
        </w:numPr>
        <w:spacing w:after="80"/>
      </w:pPr>
      <w:r>
        <w:t xml:space="preserve">Una cuenta INACTIVA NO queda bloqueada: la emprendedora puede seguir entrando, apartando y comprando con total normalidad. Si vuelve a comprar y cumple el mínimo mensual, se reactiva sola (sin intervención de un Administrativo).</w:t>
      </w:r>
    </w:p>
    <w:p>
      <w:pPr>
        <w:pStyle w:val="ListParagraph"/>
        <w:numPr>
          <w:ilvl w:val="0"/>
          <w:numId w:val="1"/>
        </w:numPr>
        <w:spacing w:after="80"/>
      </w:pPr>
      <w:r>
        <w:t xml:space="preserve">Baja formal (la que habilita reincorporarse después con otra líder) y eliminación completa de una cuenta: siempre requieren una acción manual de un Administrativo, sin importar el estado previo.</w:t>
      </w:r>
    </w:p>
    <w:p>
      <w:pPr>
        <w:pStyle w:val="ListParagraph"/>
        <w:numPr>
          <w:ilvl w:val="0"/>
          <w:numId w:val="1"/>
        </w:numPr>
        <w:spacing w:after="80"/>
      </w:pPr>
      <w:r>
        <w:t xml:space="preserve">Líder que quiere dejar el negocio: no puede autoejecutar su baja. Solicita la baja y solo un Administrativo puede ejecutarla.</w:t>
      </w:r>
    </w:p>
    <w:p>
      <w:pPr>
        <w:pStyle w:val="ListParagraph"/>
        <w:numPr>
          <w:ilvl w:val="0"/>
          <w:numId w:val="1"/>
        </w:numPr>
        <w:spacing w:after="80"/>
      </w:pPr>
      <w:r>
        <w:t xml:space="preserve">Al ejecutarse la baja de una líder, su equipo se comprime hacia el líder inmediato superior; si no existe, un Administrativo reasigna manualmente (ver 7.8).</w:t>
      </w:r>
    </w:p>
    <w:p>
      <w:pPr>
        <w:pStyle w:val="Heading1"/>
        <w:spacing w:after="200" w:before="400"/>
      </w:pPr>
      <w:r>
        <w:t xml:space="preserve">16. Escala esperada</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tblGrid>
      <w:tr>
        <w:trPr>
          <w:cantSplit/>
        </w:trPr>
        <w:tc>
          <w:tcPr>
            <w:tcW w:type="dxa" w:w="3200"/>
            <w:shd w:fill="5E1A8A" w:val="clear"/>
            <w:tcMar>
              <w:top w:type="dxa" w:w="80"/>
              <w:left w:type="dxa" w:w="100"/>
              <w:bottom w:type="dxa" w:w="80"/>
              <w:right w:type="dxa" w:w="100"/>
            </w:tcMar>
            <w:vAlign w:val="center"/>
          </w:tcPr>
          <w:p>
            <w:pPr>
              <w:jc w:val="center"/>
            </w:pPr>
            <w:r>
              <w:rPr>
                <w:b/>
                <w:bCs/>
                <w:color w:val="FFFFFF"/>
                <w:sz w:val="20"/>
                <w:szCs w:val="20"/>
              </w:rPr>
              <w:t xml:space="preserve">Métrica</w:t>
            </w:r>
          </w:p>
        </w:tc>
        <w:tc>
          <w:tcPr>
            <w:tcW w:type="dxa" w:w="3000"/>
            <w:shd w:fill="5E1A8A" w:val="clear"/>
            <w:tcMar>
              <w:top w:type="dxa" w:w="80"/>
              <w:left w:type="dxa" w:w="100"/>
              <w:bottom w:type="dxa" w:w="80"/>
              <w:right w:type="dxa" w:w="100"/>
            </w:tcMar>
            <w:vAlign w:val="center"/>
          </w:tcPr>
          <w:p>
            <w:pPr>
              <w:jc w:val="center"/>
            </w:pPr>
            <w:r>
              <w:rPr>
                <w:b/>
                <w:bCs/>
                <w:color w:val="FFFFFF"/>
                <w:sz w:val="20"/>
                <w:szCs w:val="20"/>
              </w:rPr>
              <w:t xml:space="preserve">Cantidad</w:t>
            </w:r>
          </w:p>
        </w:tc>
      </w:tr>
      <w:tr>
        <w:trPr>
          <w:cantSplit/>
        </w:trPr>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Emprendedoras activas hoy → meta 1-2 años</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~300 → 1,000</w:t>
            </w:r>
          </w:p>
        </w:tc>
      </w:tr>
      <w:tr>
        <w:trPr>
          <w:cantSplit/>
        </w:trPr>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Líderes activas hoy → meta 1-2 años</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43 → 120</w:t>
            </w:r>
          </w:p>
        </w:tc>
      </w:tr>
      <w:tr>
        <w:trPr>
          <w:cantSplit/>
        </w:trPr>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Productos en catálogo (solo oro/acero, hoy)</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~5,489</w:t>
            </w:r>
          </w:p>
        </w:tc>
      </w:tr>
      <w:tr>
        <w:trPr>
          <w:cantSplit/>
        </w:trPr>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Apartados simultáneos</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Diseñar sin límite artificial — debe soportar que todas las emprendedoras aparten al mismo tiempo</w:t>
            </w:r>
          </w:p>
        </w:tc>
      </w:tr>
      <w:tr>
        <w:trPr>
          <w:cantSplit/>
        </w:trPr>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Personas de Staff</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8 (cuenta compartida con registro de nombre por acción)</w:t>
            </w:r>
          </w:p>
        </w:tc>
      </w:tr>
      <w:tr>
        <w:trPr>
          <w:cantSplit/>
        </w:trPr>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Personas Administrativas</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3 (cuentas individuales)</w:t>
            </w:r>
          </w:p>
        </w:tc>
      </w:tr>
      <w:tr>
        <w:trPr>
          <w:cantSplit/>
        </w:trPr>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Personas de RH</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1 (cuenta individual)</w:t>
            </w:r>
          </w:p>
        </w:tc>
      </w:tr>
    </w:tbl>
    <w:p>
      <w:pPr>
        <w:pStyle w:val="Heading1"/>
        <w:spacing w:after="200" w:before="400"/>
      </w:pPr>
      <w:r>
        <w:t xml:space="preserve">17. Nómina y Recursos Humanos (RH)</w:t>
      </w:r>
    </w:p>
    <w:p>
      <w:pPr>
        <w:spacing w:after="120"/>
      </w:pPr>
      <w:r>
        <w:t xml:space="preserve">Rol nuevo agregado a partir de la Versión 6. Es un sistema separado del de comisiones — aplica a empleados con sueldo (Staff, Administrativos, RH), no a la fuerza de venta (Emprendedoras y Líderes, que reciben comisiones según la Sección 7).</w:t>
      </w:r>
    </w:p>
    <w:p>
      <w:pPr>
        <w:pStyle w:val="Heading2"/>
        <w:spacing w:after="150" w:before="300"/>
      </w:pPr>
      <w:r>
        <w:t xml:space="preserve">17.1 Alcance</w:t>
      </w:r>
    </w:p>
    <w:p>
      <w:pPr>
        <w:pStyle w:val="ListParagraph"/>
        <w:numPr>
          <w:ilvl w:val="0"/>
          <w:numId w:val="1"/>
        </w:numPr>
        <w:spacing w:after="80"/>
      </w:pPr>
      <w:r>
        <w:t xml:space="preserve">Se hace nómina a: Staff (8 personas), Administrativos (3 personas) y RH (1 persona) — todos los que reciben sueldo del negocio.</w:t>
      </w:r>
    </w:p>
    <w:p>
      <w:pPr>
        <w:pStyle w:val="ListParagraph"/>
        <w:numPr>
          <w:ilvl w:val="0"/>
          <w:numId w:val="1"/>
        </w:numPr>
        <w:spacing w:after="80"/>
      </w:pPr>
      <w:r>
        <w:t xml:space="preserve">Emprendedoras y Líderes NO entran en nómina; su compensación es por comisiones (Sección 7) y plan de recompensas (Sección 8).</w:t>
      </w:r>
    </w:p>
    <w:p>
      <w:pPr>
        <w:pStyle w:val="Heading2"/>
        <w:spacing w:after="150" w:before="300"/>
      </w:pPr>
      <w:r>
        <w:t xml:space="preserve">17.2 Qué registra el sistema</w:t>
      </w:r>
    </w:p>
    <w:p>
      <w:pPr>
        <w:pStyle w:val="ListParagraph"/>
        <w:numPr>
          <w:ilvl w:val="0"/>
          <w:numId w:val="1"/>
        </w:numPr>
        <w:spacing w:after="80"/>
      </w:pPr>
      <w:r>
        <w:t xml:space="preserve">Por cada periodo de pago: sueldo base, horas trabajadas y faltas, bonos, y deducciones.</w:t>
      </w:r>
    </w:p>
    <w:p>
      <w:pPr>
        <w:pStyle w:val="ListParagraph"/>
        <w:numPr>
          <w:ilvl w:val="0"/>
          <w:numId w:val="1"/>
        </w:numPr>
        <w:spacing w:after="80"/>
      </w:pPr>
      <w:r>
        <w:t xml:space="preserve">La captura es MANUAL: RH (o Administrativo) registra el monto correspondiente a cada periodo — no hay cálculo automático a partir de asistencia por ahora.</w:t>
      </w:r>
    </w:p>
    <w:p>
      <w:pPr>
        <w:pStyle w:val="ListParagraph"/>
        <w:numPr>
          <w:ilvl w:val="0"/>
          <w:numId w:val="1"/>
        </w:numPr>
        <w:spacing w:after="80"/>
      </w:pPr>
      <w:r>
        <w:t xml:space="preserve">Periodicidad de pago: SEMANAL — CONFIRMADO.</w:t>
      </w:r>
    </w:p>
    <w:p>
      <w:pPr>
        <w:pStyle w:val="Heading2"/>
        <w:spacing w:after="150" w:before="300"/>
      </w:pPr>
      <w:r>
        <w:t xml:space="preserve">17.3 Quién edita y quién ve</w:t>
      </w:r>
    </w:p>
    <w:p>
      <w:pPr>
        <w:pStyle w:val="ListParagraph"/>
        <w:numPr>
          <w:ilvl w:val="0"/>
          <w:numId w:val="1"/>
        </w:numPr>
        <w:spacing w:after="80"/>
      </w:pPr>
      <w:r>
        <w:t xml:space="preserve">RH y Administrativo pueden ver y editar la nómina de TODOS los empleados.</w:t>
      </w:r>
    </w:p>
    <w:p>
      <w:pPr>
        <w:pStyle w:val="ListParagraph"/>
        <w:numPr>
          <w:ilvl w:val="0"/>
          <w:numId w:val="1"/>
        </w:numPr>
        <w:spacing w:after="80"/>
      </w:pPr>
      <w:r>
        <w:t xml:space="preserve">Cada empleado (Staff, RH, Administrativo) puede ver su propio recibo de nómina — nunca el de otra persona, y no puede editarlo. Para Staff, al usar cuenta compartida, esto significa capturar su nombre y contraseña individual antes de mostrar el recibo (ver Sección 11); RH y Administrativo lo ven directamente desde su cuenta individual.</w:t>
      </w:r>
    </w:p>
    <w:p>
      <w:pPr>
        <w:pStyle w:val="Heading2"/>
        <w:spacing w:after="150" w:before="300"/>
      </w:pPr>
      <w:r>
        <w:t xml:space="preserve">17.4 Cuenta y accesos de RH</w:t>
      </w:r>
    </w:p>
    <w:p>
      <w:pPr>
        <w:pStyle w:val="ListParagraph"/>
        <w:numPr>
          <w:ilvl w:val="0"/>
          <w:numId w:val="1"/>
        </w:numPr>
        <w:spacing w:after="80"/>
      </w:pPr>
      <w:r>
        <w:t xml:space="preserve">RH usa cuenta individual (como Administrativo), a diferencia de Staff que usa cuenta compartida.</w:t>
      </w:r>
    </w:p>
    <w:p>
      <w:pPr>
        <w:pStyle w:val="ListParagraph"/>
        <w:numPr>
          <w:ilvl w:val="0"/>
          <w:numId w:val="1"/>
        </w:numPr>
        <w:spacing w:after="80"/>
      </w:pPr>
      <w:r>
        <w:t xml:space="preserve">Además de su módulo de nómina, RH tiene los mismos accesos que Staff: catálogo, apartados y calendario.</w:t>
      </w:r>
    </w:p>
    <w:p>
      <w:pPr>
        <w:pStyle w:val="ListParagraph"/>
        <w:numPr>
          <w:ilvl w:val="0"/>
          <w:numId w:val="1"/>
        </w:numPr>
        <w:spacing w:after="80"/>
      </w:pPr>
      <w:r>
        <w:t xml:space="preserve">Actualmente hay 1 persona con rol RH.</w:t>
      </w:r>
    </w:p>
    <w:p>
      <w:pPr>
        <w:pStyle w:val="Heading1"/>
        <w:spacing w:after="200" w:before="400"/>
      </w:pPr>
      <w:r>
        <w:t xml:space="preserve">19. Cuentas: edición, altas y recuperación de acceso</w:t>
      </w:r>
    </w:p>
    <w:p>
      <w:pPr>
        <w:pStyle w:val="Heading2"/>
        <w:spacing w:after="150" w:before="300"/>
      </w:pPr>
      <w:r>
        <w:t xml:space="preserve">19.1 Edición de datos propios</w:t>
      </w:r>
    </w:p>
    <w:p>
      <w:pPr>
        <w:pStyle w:val="ListParagraph"/>
        <w:numPr>
          <w:ilvl w:val="0"/>
          <w:numId w:val="1"/>
        </w:numPr>
        <w:spacing w:after="80"/>
      </w:pPr>
      <w:r>
        <w:t xml:space="preserve">Emprendedora y Líder pueden editar su propio teléfono y otros datos básicos de contacto desde su cuenta.</w:t>
      </w:r>
    </w:p>
    <w:p>
      <w:pPr>
        <w:pStyle w:val="ListParagraph"/>
        <w:numPr>
          <w:ilvl w:val="0"/>
          <w:numId w:val="1"/>
        </w:numPr>
        <w:spacing w:after="80"/>
      </w:pPr>
      <w:r>
        <w:t xml:space="preserve">Ninguna persona (de ningún rol) puede editar o restablecer su propia contraseña/PIN — ver 19.2.</w:t>
      </w:r>
    </w:p>
    <w:p>
      <w:pPr>
        <w:pStyle w:val="Heading2"/>
        <w:spacing w:after="150" w:before="300"/>
      </w:pPr>
      <w:r>
        <w:t xml:space="preserve">19.2 Recuperación de acceso — CONFIRMADO</w:t>
      </w:r>
    </w:p>
    <w:p>
      <w:pPr>
        <w:pStyle w:val="ListParagraph"/>
        <w:numPr>
          <w:ilvl w:val="0"/>
          <w:numId w:val="1"/>
        </w:numPr>
        <w:spacing w:after="80"/>
      </w:pPr>
      <w:r>
        <w:t xml:space="preserve">Nadie puede cambiar ni restablecer su propia contraseña o PIN por sí mismo, en ningún rol.</w:t>
      </w:r>
    </w:p>
    <w:p>
      <w:pPr>
        <w:pStyle w:val="ListParagraph"/>
        <w:numPr>
          <w:ilvl w:val="0"/>
          <w:numId w:val="1"/>
        </w:numPr>
        <w:spacing w:after="80"/>
      </w:pPr>
      <w:r>
        <w:t xml:space="preserve">El botón "Olvidé mi contraseña" (o PIN, en el caso de Staff) notifica a Administración de la situación.</w:t>
      </w:r>
    </w:p>
    <w:p>
      <w:pPr>
        <w:pStyle w:val="ListParagraph"/>
        <w:numPr>
          <w:ilvl w:val="0"/>
          <w:numId w:val="1"/>
        </w:numPr>
        <w:spacing w:after="80"/>
      </w:pPr>
      <w:r>
        <w:t xml:space="preserve">Un Administrativo restablece la contraseña/PIN manualmente y se la reenvía a la persona por WhatsApp — no se manda automáticamente por correo ni se genera un link de restablecimiento.</w:t>
      </w:r>
    </w:p>
    <w:p>
      <w:pPr>
        <w:pStyle w:val="ListParagraph"/>
        <w:numPr>
          <w:ilvl w:val="0"/>
          <w:numId w:val="1"/>
        </w:numPr>
        <w:spacing w:after="80"/>
      </w:pPr>
      <w:r>
        <w:t xml:space="preserve">Esta regla aplica igual a Emprendedora, Líder, Staff (PIN), RH y Administrativo.</w:t>
      </w:r>
    </w:p>
    <w:p>
      <w:pPr>
        <w:pStyle w:val="Heading2"/>
        <w:spacing w:after="150" w:before="300"/>
      </w:pPr>
      <w:r>
        <w:t xml:space="preserve">19.3 Alta de nuevas emprendedoras — CONFIRMADO</w:t>
      </w:r>
    </w:p>
    <w:p>
      <w:pPr>
        <w:pStyle w:val="ListParagraph"/>
        <w:numPr>
          <w:ilvl w:val="0"/>
          <w:numId w:val="1"/>
        </w:numPr>
        <w:spacing w:after="80"/>
      </w:pPr>
      <w:r>
        <w:t xml:space="preserve">Una líder puede proponer la alta de una nueva recluta, capturando sus datos básicos en el sistema.</w:t>
      </w:r>
    </w:p>
    <w:p>
      <w:pPr>
        <w:pStyle w:val="ListParagraph"/>
        <w:numPr>
          <w:ilvl w:val="0"/>
          <w:numId w:val="1"/>
        </w:numPr>
        <w:spacing w:after="80"/>
      </w:pPr>
      <w:r>
        <w:t xml:space="preserve">Un Administrativo revisa y aprueba la propuesta, y es quien crea la cuenta formalmente (sigue sin existir el auto-registro).</w:t>
      </w:r>
    </w:p>
    <w:p>
      <w:pPr>
        <w:pStyle w:val="ListParagraph"/>
        <w:numPr>
          <w:ilvl w:val="0"/>
          <w:numId w:val="1"/>
        </w:numPr>
        <w:spacing w:after="80"/>
      </w:pPr>
      <w:r>
        <w:t xml:space="preserve">El formulario público "Quiero unirme" (ver Sección 2.1) es otra vía de entrada de interesadas — llega a Staff/Administrativo para darles seguimiento, no crea una cuenta ni una propuesta de alta automáticamente.</w:t>
      </w:r>
    </w:p>
    <w:p>
      <w:pPr>
        <w:pStyle w:val="Heading1"/>
        <w:spacing w:after="200" w:before="400"/>
      </w:pPr>
      <w:r>
        <w:t xml:space="preserve">20. Relación con el sistema de caja (Aronium)</w:t>
      </w:r>
    </w:p>
    <w:p>
      <w:pPr>
        <w:spacing w:after="120"/>
      </w:pPr>
      <w:r>
        <w:t xml:space="preserve">El negocio ya usa Aronium, un software de punto de venta (POS) de escritorio, para cobrar en caja, llevar el inventario físico, el historial de ventas y estadísticas, y actualmente también la información de las emprendedoras.</w:t>
      </w:r>
    </w:p>
    <w:p>
      <w:pPr>
        <w:pStyle w:val="Heading2"/>
        <w:spacing w:after="150" w:before="300"/>
      </w:pPr>
      <w:r>
        <w:t xml:space="preserve">20.1 División de responsabilidades — CONFIRMADO</w:t>
      </w:r>
    </w:p>
    <w:p>
      <w:pPr>
        <w:pStyle w:val="ListParagraph"/>
        <w:numPr>
          <w:ilvl w:val="0"/>
          <w:numId w:val="1"/>
        </w:numPr>
        <w:spacing w:after="80"/>
      </w:pPr>
      <w:r>
        <w:t xml:space="preserve">Aronium sigue siendo la caja registradora física del negocio — el cobro en persona (a cualquier cliente, incluyendo emprendedoras/líderes que compran directo en tienda) se sigue procesando ahí.</w:t>
      </w:r>
    </w:p>
    <w:p>
      <w:pPr>
        <w:pStyle w:val="ListParagraph"/>
        <w:numPr>
          <w:ilvl w:val="0"/>
          <w:numId w:val="1"/>
        </w:numPr>
        <w:spacing w:after="80"/>
      </w:pPr>
      <w:r>
        <w:t xml:space="preserve">Aronium sigue siendo la fuente de verdad del inventario físico real.</w:t>
      </w:r>
    </w:p>
    <w:p>
      <w:pPr>
        <w:pStyle w:val="ListParagraph"/>
        <w:numPr>
          <w:ilvl w:val="0"/>
          <w:numId w:val="1"/>
        </w:numPr>
        <w:spacing w:after="80"/>
      </w:pPr>
      <w:r>
        <w:t xml:space="preserve">Nuestro catálogo (Sección 4) refleja ese inventario de forma MANUAL — Staff/Administrativo captura en nuestro sistema las mismas cantidades que ven en Aronium. No hay integración automática entre los dos sistemas: no se encontró evidencia de que Aronium tenga una API confiable para conectarse con otro software.</w:t>
      </w:r>
    </w:p>
    <w:p>
      <w:pPr>
        <w:pStyle w:val="Heading2"/>
        <w:spacing w:after="150" w:before="300"/>
      </w:pPr>
      <w:r>
        <w:t xml:space="preserve">20.2 Migración de datos de emprendedoras</w:t>
      </w:r>
    </w:p>
    <w:p>
      <w:pPr>
        <w:pStyle w:val="ListParagraph"/>
        <w:numPr>
          <w:ilvl w:val="0"/>
          <w:numId w:val="1"/>
        </w:numPr>
        <w:spacing w:after="80"/>
      </w:pPr>
      <w:r>
        <w:t xml:space="preserve">La información de emprendedoras que ya existe en Aronium se puede exportar (Excel/CSV) para migrarla al nuevo sistema al arrancar, en vez de capturar cada cuenta desde cero.</w:t>
      </w:r>
    </w:p>
    <w:p>
      <w:pPr>
        <w:pStyle w:val="Heading2"/>
        <w:spacing w:after="150" w:before="300"/>
      </w:pPr>
      <w:r>
        <w:t xml:space="preserve">20.3 Compra directa (sin apartado previo) — CONFIRMADO</w:t>
      </w:r>
    </w:p>
    <w:p>
      <w:pPr>
        <w:pStyle w:val="ListParagraph"/>
        <w:numPr>
          <w:ilvl w:val="0"/>
          <w:numId w:val="1"/>
        </w:numPr>
        <w:spacing w:after="80"/>
      </w:pPr>
      <w:r>
        <w:t xml:space="preserve">Una emprendedora o líder puede comprar directo en tienda, como cualquier cliente, sin haber apartado la pieza antes.</w:t>
      </w:r>
    </w:p>
    <w:p>
      <w:pPr>
        <w:pStyle w:val="ListParagraph"/>
        <w:numPr>
          <w:ilvl w:val="0"/>
          <w:numId w:val="1"/>
        </w:numPr>
        <w:spacing w:after="80"/>
      </w:pPr>
      <w:r>
        <w:t xml:space="preserve">Staff o Administrativo, después de cobrar en Aronium, registra manualmente esa compra en nuestro sistema: quién compró, monto total, y qué parte corresponde a Souvenirs vs. artículos con descuento normal.</w:t>
      </w:r>
    </w:p>
    <w:p>
      <w:pPr>
        <w:pStyle w:val="ListParagraph"/>
        <w:numPr>
          <w:ilvl w:val="0"/>
          <w:numId w:val="1"/>
        </w:numPr>
        <w:spacing w:after="80"/>
      </w:pPr>
      <w:r>
        <w:t xml:space="preserve">Una compra directa cuenta exactamente igual que una compra de apartado liquidado para todos los cálculos del sistema: activación, comisión de la líder, producción grupal, equipo calificado, Reto de Constancia y Rifas.</w:t>
      </w:r>
    </w:p>
    <w:p>
      <w:pPr>
        <w:pStyle w:val="ListParagraph"/>
        <w:numPr>
          <w:ilvl w:val="0"/>
          <w:numId w:val="1"/>
        </w:numPr>
        <w:spacing w:after="80"/>
      </w:pPr>
      <w:r>
        <w:t xml:space="preserve">Una compra directa no pasa por el flujo de depósito/ventana de la Sección 5 — es una venta inmediata, sin reservación previa.</w:t>
      </w:r>
    </w:p>
    <w:p>
      <w:pPr>
        <w:pStyle w:val="Heading1"/>
        <w:spacing w:after="200" w:before="400"/>
      </w:pPr>
      <w:r>
        <w:t xml:space="preserve">21. Notificaciones automáticas — CONFIRMADO</w:t>
      </w:r>
    </w:p>
    <w:p>
      <w:pPr>
        <w:pStyle w:val="ListParagraph"/>
        <w:numPr>
          <w:ilvl w:val="0"/>
          <w:numId w:val="1"/>
        </w:numPr>
        <w:spacing w:after="80"/>
      </w:pPr>
      <w:r>
        <w:t xml:space="preserve">El sistema debe generar notificaciones automáticas DENTRO del portal (no por WhatsApp ni correo) para al menos estos eventos:</w:t>
      </w:r>
    </w:p>
    <w:p>
      <w:pPr>
        <w:pStyle w:val="ListParagraph"/>
        <w:numPr>
          <w:ilvl w:val="0"/>
          <w:numId w:val="1"/>
        </w:numPr>
        <w:spacing w:after="80"/>
      </w:pPr>
      <w:r>
        <w:t xml:space="preserve">A la emprendedora/líder: su apartado está por vencer.</w:t>
      </w:r>
    </w:p>
    <w:p>
      <w:pPr>
        <w:pStyle w:val="ListParagraph"/>
        <w:numPr>
          <w:ilvl w:val="0"/>
          <w:numId w:val="1"/>
        </w:numPr>
        <w:spacing w:after="80"/>
      </w:pPr>
      <w:r>
        <w:t xml:space="preserve">A la emprendedora: resultado de la rifa mensual.</w:t>
      </w:r>
    </w:p>
    <w:p>
      <w:pPr>
        <w:pStyle w:val="ListParagraph"/>
        <w:numPr>
          <w:ilvl w:val="0"/>
          <w:numId w:val="1"/>
        </w:numPr>
        <w:spacing w:after="80"/>
      </w:pPr>
      <w:r>
        <w:t xml:space="preserve">A la líder: se pagó su comisión de un periodo.</w:t>
      </w:r>
    </w:p>
    <w:p>
      <w:pPr>
        <w:pStyle w:val="ListParagraph"/>
        <w:numPr>
          <w:ilvl w:val="0"/>
          <w:numId w:val="1"/>
        </w:numPr>
        <w:spacing w:after="80"/>
      </w:pPr>
      <w:r>
        <w:t xml:space="preserve">A la líder: una recluta que propuso (ver 19.3) ya fue aprobada y tiene cuenta.</w:t>
      </w:r>
    </w:p>
    <w:p>
      <w:pPr>
        <w:pStyle w:val="Heading1"/>
        <w:spacing w:after="200" w:before="400"/>
      </w:pPr>
      <w:r>
        <w:t xml:space="preserve">22. Próximo paso</w:t>
      </w:r>
    </w:p>
    <w:p>
      <w:pPr>
        <w:spacing w:after="120"/>
      </w:pPr>
      <w:r>
        <w:t xml:space="preserve">Fase 1 — Análisis y Requisitos queda CERRADA. Todos los pendientes de negocio identificados a lo largo del análisis (comisiones, mayoreo, apartados y su modelo de depósito compartido, inventario/variantes, plan de compensación, ciclo de vida de cuentas, clasificación de datos, escala, nómina/RH, cuentas/accesos, relación con Aronium y notificaciones) fueron confirmados por la señora.</w:t>
      </w:r>
    </w:p>
    <w:p>
      <w:pPr>
        <w:spacing w:after="120"/>
      </w:pPr>
      <w:r>
        <w:t xml:space="preserve">Único punto que queda fuera de Fase 1 a propósito: los Criterios de Aceptación / "terminado" por función, que se definirán junto con Celia como parte de Fase 4 — Pruebas, cuando ya exista un sistema funcional que probar contra los requisitos aquí documentados.</w:t>
      </w:r>
    </w:p>
    <w:p>
      <w:pPr>
        <w:spacing w:after="120"/>
      </w:pPr>
      <w:r>
        <w:t xml:space="preserve">Siguiente paso: Fase 2 — Diseño del Sistema. Se recomienda empezar por catálogo/inventario (incluye la jerarquía Modelo → Color → Talla y las reglas de mayoreo/Souvenirs) y apartados, ya que son la base de la que dependen equipos, comisiones y el plan de compensación.</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2026-08-13T22:04:43.632Z</dcterms:created>
  <dcterms:modified xsi:type="dcterms:W3CDTF">2026-08-13T22:04:43.632Z</dcterms:modified>
</cp:coreProperties>
</file>

<file path=docProps/custom.xml><?xml version="1.0" encoding="utf-8"?>
<Properties xmlns="http://schemas.openxmlformats.org/officeDocument/2006/custom-properties" xmlns:vt="http://schemas.openxmlformats.org/officeDocument/2006/docPropsVTypes"/>
</file>