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FBFEB" w14:textId="77777777" w:rsidR="002A7F71" w:rsidRPr="00F32ED4" w:rsidRDefault="002A7F71"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65328E6F" w14:textId="77777777" w:rsidR="002A7F71" w:rsidRPr="008C34ED" w:rsidRDefault="002A7F71"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Pr="008C34ED">
        <w:rPr>
          <w:rFonts w:ascii="Arial" w:hAnsi="Arial" w:cs="Arial"/>
          <w:bCs/>
          <w:sz w:val="24"/>
          <w:szCs w:val="24"/>
        </w:rPr>
        <w:t xml:space="preserve">Services Contract </w:t>
      </w:r>
      <w:r w:rsidRPr="004E02B6">
        <w:rPr>
          <w:rFonts w:ascii="Arial" w:hAnsi="Arial" w:cs="Arial"/>
          <w:bCs/>
          <w:sz w:val="24"/>
          <w:szCs w:val="24"/>
        </w:rPr>
        <w:t>#</w:t>
      </w:r>
      <w:r w:rsidRPr="004E02B6">
        <w:rPr>
          <w:rFonts w:ascii="Arial" w:hAnsi="Arial" w:cs="Arial"/>
          <w:color w:val="1A1A1A"/>
          <w:sz w:val="24"/>
          <w:szCs w:val="24"/>
          <w:shd w:val="clear" w:color="auto" w:fill="FFFFFF"/>
        </w:rPr>
        <w:t>25-4248</w:t>
      </w:r>
    </w:p>
    <w:p w14:paraId="5F8F2006" w14:textId="77777777" w:rsidR="002A7F71" w:rsidRDefault="002A7F71"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Pr>
          <w:rFonts w:ascii="Arial" w:hAnsi="Arial" w:cs="Arial"/>
          <w:bCs/>
          <w:sz w:val="24"/>
          <w:szCs w:val="24"/>
        </w:rPr>
        <w:t xml:space="preserve">Personal Services </w:t>
      </w:r>
      <w:r w:rsidRPr="008C34ED">
        <w:rPr>
          <w:rFonts w:ascii="Arial" w:hAnsi="Arial" w:cs="Arial"/>
          <w:bCs/>
          <w:sz w:val="24"/>
          <w:szCs w:val="24"/>
        </w:rPr>
        <w:t xml:space="preserve">Relating to: </w:t>
      </w:r>
    </w:p>
    <w:p w14:paraId="10CC6F02" w14:textId="77777777" w:rsidR="002A7F71" w:rsidRDefault="002A7F71" w:rsidP="005C3B5C">
      <w:pPr>
        <w:spacing w:after="0" w:line="240" w:lineRule="auto"/>
        <w:jc w:val="center"/>
        <w:rPr>
          <w:rFonts w:ascii="Arial" w:hAnsi="Arial" w:cs="Arial"/>
          <w:bCs/>
          <w:sz w:val="24"/>
          <w:szCs w:val="24"/>
        </w:rPr>
      </w:pPr>
    </w:p>
    <w:p w14:paraId="0DCB57A0" w14:textId="77777777" w:rsidR="002A7F71" w:rsidRPr="006144A7" w:rsidRDefault="002A7F71"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4CED5BEF" w14:textId="77777777" w:rsidR="002A7F71" w:rsidRPr="008C34ED" w:rsidRDefault="002A7F71" w:rsidP="009C0BC4">
      <w:pPr>
        <w:spacing w:after="0" w:line="240" w:lineRule="auto"/>
        <w:jc w:val="both"/>
        <w:textDirection w:val="btLr"/>
        <w:rPr>
          <w:rFonts w:ascii="Arial" w:hAnsi="Arial" w:cs="Arial"/>
          <w:color w:val="000000"/>
          <w:sz w:val="28"/>
          <w:szCs w:val="28"/>
        </w:rPr>
      </w:pPr>
    </w:p>
    <w:p w14:paraId="48ECAC40" w14:textId="77777777" w:rsidR="002A7F71" w:rsidRDefault="002A7F71">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3A98F794" w14:textId="77777777" w:rsidR="002A7F71" w:rsidRDefault="002A7F71">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195ECAED" w14:textId="77777777" w:rsidR="002A7F71" w:rsidRDefault="002A7F71">
      <w:pPr>
        <w:rPr>
          <w:rFonts w:ascii="Arial" w:hAnsi="Arial" w:cs="Arial"/>
          <w:sz w:val="24"/>
          <w:szCs w:val="24"/>
        </w:rPr>
      </w:pPr>
      <w:r>
        <w:rPr>
          <w:rFonts w:ascii="Arial" w:hAnsi="Arial" w:cs="Arial"/>
          <w:b/>
          <w:sz w:val="24"/>
          <w:szCs w:val="24"/>
        </w:rPr>
        <w:t>The Parties agree as follows:</w:t>
      </w:r>
    </w:p>
    <w:p w14:paraId="649B97A0" w14:textId="77777777" w:rsidR="002A7F71" w:rsidRDefault="002A7F71">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4014B170" w14:textId="77777777" w:rsidR="002A7F71" w:rsidRDefault="002A7F71">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74E7E722" w14:textId="77777777" w:rsidR="002A7F71" w:rsidRDefault="002A7F71">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7F9AEE32" w14:textId="77777777" w:rsidR="002A7F71" w:rsidRDefault="002A7F71">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75B0F543" w14:textId="77777777" w:rsidR="002A7F71" w:rsidRDefault="002A7F71">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20BE0A58" w14:textId="77777777" w:rsidR="002A7F71" w:rsidRDefault="002A7F71">
      <w:pPr>
        <w:rPr>
          <w:rFonts w:ascii="Arial" w:hAnsi="Arial" w:cs="Arial"/>
          <w:sz w:val="24"/>
          <w:szCs w:val="24"/>
        </w:rPr>
      </w:pPr>
      <w:r>
        <w:rPr>
          <w:rFonts w:ascii="Arial" w:hAnsi="Arial" w:cs="Arial"/>
          <w:sz w:val="24"/>
          <w:szCs w:val="24"/>
          <w:u w:val="single"/>
        </w:rPr>
        <w:t>Strategic Positioning Scope of Work:</w:t>
      </w:r>
    </w:p>
    <w:p w14:paraId="359FA750" w14:textId="77777777" w:rsidR="002A7F71" w:rsidRDefault="002A7F71">
      <w:pPr>
        <w:pStyle w:val="BodyText"/>
        <w:numPr>
          <w:ilvl w:val="0"/>
          <w:numId w:val="3"/>
        </w:numPr>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48E27DA1" w14:textId="77777777" w:rsidR="002A7F71" w:rsidRDefault="002A7F71">
      <w:pPr>
        <w:pStyle w:val="BodyText"/>
        <w:numPr>
          <w:ilvl w:val="0"/>
          <w:numId w:val="4"/>
        </w:numPr>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33FA73F6" w14:textId="77777777" w:rsidR="002A7F71" w:rsidRDefault="002A7F71">
      <w:pPr>
        <w:pStyle w:val="BodyText"/>
        <w:numPr>
          <w:ilvl w:val="0"/>
          <w:numId w:val="5"/>
        </w:numPr>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w:t>
      </w:r>
      <w:r>
        <w:rPr>
          <w:rFonts w:ascii="Arial" w:hAnsi="Arial" w:cs="Arial"/>
          <w:sz w:val="24"/>
          <w:szCs w:val="24"/>
        </w:rPr>
        <w:lastRenderedPageBreak/>
        <w:t>research firm to develop the polling instrument and determine the use of focus groups or other research methods, bringing in Mayor and City Manager to ensure effectiveness and accuracy of research.</w:t>
      </w:r>
    </w:p>
    <w:p w14:paraId="2A3F827B"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617D618D"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22145942" w14:textId="77777777" w:rsidR="002A7F71" w:rsidRDefault="002A7F71">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01B0F632" w14:textId="77777777" w:rsidR="002A7F71" w:rsidRDefault="002A7F71">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7CE19EFF" w14:textId="77777777" w:rsidR="002A7F71" w:rsidRDefault="002A7F71">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769D9DBD" w14:textId="77777777" w:rsidR="002A7F71" w:rsidRDefault="002A7F71">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17B94B3B" w14:textId="77777777" w:rsidR="002A7F71" w:rsidRDefault="002A7F71">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3A87DBBE" w14:textId="77777777" w:rsidR="002A7F71" w:rsidRDefault="002A7F71">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0905E28A" w14:textId="77777777" w:rsidR="002A7F71" w:rsidRDefault="002A7F71">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41D08BCB"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lastRenderedPageBreak/>
        <w:t>the City of Beaverton, Attention: Jessie Hall, Mayor's Office, P.O. Box 4755, Beaverton, Oregon 97076</w:t>
      </w:r>
      <w:r>
        <w:rPr>
          <w:rFonts w:ascii="Arial" w:hAnsi="Arial" w:cs="Arial"/>
          <w:sz w:val="24"/>
          <w:szCs w:val="24"/>
        </w:rPr>
        <w:t>.</w:t>
      </w:r>
    </w:p>
    <w:p w14:paraId="788FC568"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shall pay Contractor after the Contract Administrator approves and accepts Contractor’s completed Work. Contract Administrator shall subsequently submit a payment request to City’s Finance Department for processing.</w:t>
      </w:r>
    </w:p>
    <w:p w14:paraId="3E951EBE"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79C93184"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367D94A2"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0ABBD21D" w14:textId="77777777" w:rsidR="002A7F71" w:rsidRDefault="002A7F71">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62784C0B" w14:textId="77777777" w:rsidR="002A7F71" w:rsidRDefault="002A7F71">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3C0A33F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6E7848C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the legal power and authority to:</w:t>
      </w:r>
    </w:p>
    <w:p w14:paraId="178C96B2"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Transact the business in which Contractor is engaged and presently proposes to engage; and</w:t>
      </w:r>
    </w:p>
    <w:p w14:paraId="077DD826"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Execute, deliver, and perform the Contract.</w:t>
      </w:r>
    </w:p>
    <w:p w14:paraId="01D9E71A"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1F8373E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duly executed and delivered the Contract.</w:t>
      </w:r>
    </w:p>
    <w:p w14:paraId="1101A21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execution, delivery, and performance of the Contract do not:</w:t>
      </w:r>
    </w:p>
    <w:p w14:paraId="06B3EF93"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3FFA9C1D"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lastRenderedPageBreak/>
        <w:t>Conflict with or result in any breach of any agreement to which Contractor is a party, or</w:t>
      </w:r>
    </w:p>
    <w:p w14:paraId="0C43E9D7"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Violate any provision of any organizational documents of Contractor, if Contractor is any entity.</w:t>
      </w:r>
    </w:p>
    <w:p w14:paraId="246EA6C3"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44004F8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5AF7827F"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person who signs the Contract on behalf of Contractor:</w:t>
      </w:r>
    </w:p>
    <w:p w14:paraId="64563287"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Is duly authorized to execute the Contract,</w:t>
      </w:r>
    </w:p>
    <w:p w14:paraId="59DD5090"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Has authority and knowledge regarding Contractor’s payment of taxes, and</w:t>
      </w:r>
    </w:p>
    <w:p w14:paraId="1A689741"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To the best of the person’s knowledge, Contractor is not in violation of any Oregon tax laws.</w:t>
      </w:r>
    </w:p>
    <w:p w14:paraId="397F648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673FF5DD"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1BC81E4B"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73ED22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7010F0C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 xml:space="preserve">If Contractor provides professional services under the Contract, Contractor shall perform the Work in accordance with generally accepted professional practices and principles and in a manner consistent with the level of care, skill, and </w:t>
      </w:r>
      <w:r>
        <w:rPr>
          <w:rFonts w:ascii="Arial" w:hAnsi="Arial" w:cs="Arial"/>
          <w:sz w:val="24"/>
          <w:szCs w:val="24"/>
        </w:rPr>
        <w:lastRenderedPageBreak/>
        <w:t>diligence ordinarily exercised by members of the profession currently practicing under similar conditions.</w:t>
      </w:r>
    </w:p>
    <w:p w14:paraId="54F17DCC"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warranties as to the standard of care set forth in subsection (L) and (M) are in addition to, and not in lieu of, any other warranties provided.</w:t>
      </w:r>
    </w:p>
    <w:p w14:paraId="4F73D8D8" w14:textId="77777777" w:rsidR="002A7F71" w:rsidRDefault="002A7F71">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2A52B93A" w14:textId="77777777" w:rsidR="002A7F71" w:rsidRDefault="002A7F71">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4298A8FB" w14:textId="77777777" w:rsidR="002A7F71" w:rsidRDefault="002A7F71">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759786E3" w14:textId="77777777" w:rsidR="002A7F71" w:rsidRDefault="002A7F71">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511EAD46" w14:textId="77777777" w:rsidR="002A7F71" w:rsidRDefault="002A7F71">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20EA252E" w14:textId="77777777" w:rsidR="002A7F71" w:rsidRDefault="002A7F71">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51A12BE1" w14:textId="77777777" w:rsidR="002A7F71" w:rsidRDefault="002A7F71">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2F1D2C3C" w14:textId="77777777" w:rsidR="002A7F71" w:rsidRDefault="002A7F71">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0D36B6F1" w14:textId="77777777" w:rsidR="002A7F71" w:rsidRDefault="002A7F71">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Pr>
            <w:rStyle w:val="Hyperlink"/>
            <w:rFonts w:ascii="Arial" w:hAnsi="Arial" w:cs="Arial"/>
            <w:color w:val="0563C1"/>
          </w:rPr>
          <w:t>www.BeavertonOregon.gov/Purchasing</w:t>
        </w:r>
      </w:hyperlink>
      <w:r>
        <w:rPr>
          <w:rFonts w:ascii="Arial" w:hAnsi="Arial" w:cs="Arial"/>
        </w:rPr>
        <w:t>.</w:t>
      </w:r>
    </w:p>
    <w:p w14:paraId="0714F76C" w14:textId="77777777" w:rsidR="002A7F71" w:rsidRDefault="002A7F71">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4A64A2BB" w14:textId="77777777" w:rsidR="002A7F71" w:rsidRDefault="002A7F71">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11C3B821" w14:textId="77777777" w:rsidR="002A7F71" w:rsidRDefault="002A7F71">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1C7B7573"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 xml:space="preserve">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w:t>
      </w:r>
      <w:r>
        <w:rPr>
          <w:rFonts w:ascii="Arial" w:hAnsi="Arial" w:cs="Arial"/>
          <w:sz w:val="24"/>
          <w:szCs w:val="24"/>
        </w:rPr>
        <w:lastRenderedPageBreak/>
        <w:t>administrative discretion to continue the Contract, or (ii) City abolishes the program for which benefit this Contract was executed.</w:t>
      </w:r>
    </w:p>
    <w:p w14:paraId="47557DBD"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City shall provide Contractor with thirty days’ written notice if City terminates the Contract under this section. In determining the availability of funds, City may use the annual budget adopted for it by its City Council.</w:t>
      </w:r>
    </w:p>
    <w:p w14:paraId="35C5A802" w14:textId="77777777" w:rsidR="002A7F71" w:rsidRDefault="002A7F71">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7ACB213A" w14:textId="77777777" w:rsidR="002A7F71" w:rsidRDefault="002A7F71">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5DC6995E" w14:textId="77777777" w:rsidR="002A7F71" w:rsidRDefault="002A7F71">
      <w:pPr>
        <w:pStyle w:val="BodyText"/>
        <w:numPr>
          <w:ilvl w:val="0"/>
          <w:numId w:val="13"/>
        </w:numPr>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26F6892F" w14:textId="77777777" w:rsidR="002A7F71" w:rsidRDefault="002A7F71">
      <w:pPr>
        <w:pStyle w:val="BodyText"/>
        <w:numPr>
          <w:ilvl w:val="0"/>
          <w:numId w:val="13"/>
        </w:numPr>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5AF9A857" w14:textId="77777777" w:rsidR="002A7F71" w:rsidRDefault="002A7F71">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36BBEA65" w14:textId="77777777" w:rsidR="002A7F71" w:rsidRDefault="002A7F71">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621C07E5"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6867C8E9"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709381FC"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Contractor no longer holds a license or certificate that is required to perform the Work.</w:t>
      </w:r>
    </w:p>
    <w:p w14:paraId="65EE9D9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 xml:space="preserve">Contractor materially breached a covenant. </w:t>
      </w:r>
    </w:p>
    <w:p w14:paraId="0E20FCEF"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2294041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insolvency, liquidation, or bankruptcy of a Party.</w:t>
      </w:r>
    </w:p>
    <w:p w14:paraId="236DA0B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3FBBC62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As used in this subsection(D), “materially breached a covenant” means a:</w:t>
      </w:r>
    </w:p>
    <w:p w14:paraId="21ADA40E"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1D7B776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 xml:space="preserve">failure to pursue the Work so as to endanger Contractor’s performance under the Contract in accordance with its terms, and the failure is not cured within ten business </w:t>
      </w:r>
      <w:r>
        <w:rPr>
          <w:rFonts w:ascii="Arial" w:hAnsi="Arial" w:cs="Arial"/>
        </w:rPr>
        <w:lastRenderedPageBreak/>
        <w:t>days after the date City delivers the notice, or within a longer period City may specify in the notice;</w:t>
      </w:r>
    </w:p>
    <w:p w14:paraId="24A0FE8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provide or maintain in full force and effect any required insurance, if that failure is not cured within seven days after receipt of written notice from City;</w:t>
      </w:r>
    </w:p>
    <w:p w14:paraId="4F51D697"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11A22C42" w14:textId="77777777" w:rsidR="002A7F71" w:rsidRDefault="002A7F71">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1588ABCF" w14:textId="77777777" w:rsidR="002A7F71" w:rsidRDefault="002A7F71">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3733D0C8" w14:textId="77777777" w:rsidR="002A7F71" w:rsidRDefault="002A7F71">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59DD656B"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1D888EC4"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1AD9C754" w14:textId="77777777" w:rsidR="002A7F71" w:rsidRDefault="002A7F71">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2FC097FD" w14:textId="77777777" w:rsidR="002A7F71" w:rsidRDefault="002A7F71">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0A93A0C7" w14:textId="77777777" w:rsidR="002A7F71" w:rsidRDefault="002A7F71">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5C8B99EE" w14:textId="77777777" w:rsidR="002A7F71" w:rsidRDefault="002A7F71">
      <w:pPr>
        <w:pStyle w:val="Heading2"/>
        <w:rPr>
          <w:rFonts w:ascii="Arial" w:hAnsi="Arial" w:cs="Arial"/>
          <w:sz w:val="24"/>
          <w:szCs w:val="24"/>
        </w:rPr>
      </w:pPr>
      <w:r>
        <w:rPr>
          <w:rFonts w:ascii="Arial" w:hAnsi="Arial" w:cs="Arial"/>
          <w:sz w:val="24"/>
          <w:szCs w:val="24"/>
        </w:rPr>
        <w:lastRenderedPageBreak/>
        <w:t>11.1.</w:t>
      </w:r>
      <w:r>
        <w:tab/>
      </w:r>
      <w:r>
        <w:rPr>
          <w:rFonts w:ascii="Arial" w:hAnsi="Arial" w:cs="Arial"/>
          <w:sz w:val="24"/>
          <w:szCs w:val="24"/>
        </w:rPr>
        <w:t>Force Majeure Event</w:t>
      </w:r>
    </w:p>
    <w:p w14:paraId="729D1CAB" w14:textId="77777777" w:rsidR="002A7F71" w:rsidRDefault="002A7F71">
      <w:pPr>
        <w:rPr>
          <w:rFonts w:ascii="Arial" w:hAnsi="Arial" w:cs="Arial"/>
          <w:sz w:val="24"/>
          <w:szCs w:val="24"/>
        </w:rPr>
      </w:pPr>
      <w:r>
        <w:rPr>
          <w:rFonts w:ascii="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 control and without fault or negligence of the Party (“Force Majeure Event”).</w:t>
      </w:r>
    </w:p>
    <w:p w14:paraId="1061CAD4" w14:textId="77777777" w:rsidR="002A7F71" w:rsidRDefault="002A7F71">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12AEE07D" w14:textId="77777777" w:rsidR="002A7F71" w:rsidRDefault="002A7F71">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59E6DB19" w14:textId="77777777" w:rsidR="002A7F71" w:rsidRDefault="002A7F71">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0870370F" w14:textId="77777777" w:rsidR="002A7F71" w:rsidRDefault="002A7F71">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53FD0048" w14:textId="77777777" w:rsidR="002A7F71" w:rsidRDefault="002A7F71">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2C00AF16"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3149AC2B"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725ECAE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399B059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0B324D7F" w14:textId="77777777" w:rsidR="002A7F71" w:rsidRDefault="002A7F71">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23D3BA3C" w14:textId="77777777" w:rsidR="002A7F71" w:rsidRDefault="002A7F71">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0C9C5303" w14:textId="77777777" w:rsidR="002A7F71" w:rsidRDefault="002A7F71">
      <w:pPr>
        <w:rPr>
          <w:rFonts w:ascii="Arial" w:hAnsi="Arial" w:cs="Arial"/>
          <w:sz w:val="24"/>
          <w:szCs w:val="24"/>
        </w:rPr>
      </w:pPr>
      <w:r>
        <w:rPr>
          <w:rFonts w:ascii="Arial" w:hAnsi="Arial" w:cs="Arial"/>
        </w:rPr>
        <w:t xml:space="preserve">The Parties may not amend the Contract unless the amendment is first reduced to writing and signed by the Parties. An “amendment” is a written document, contemporaneously executed by </w:t>
      </w:r>
      <w:r>
        <w:rPr>
          <w:rFonts w:ascii="Arial" w:hAnsi="Arial" w:cs="Arial"/>
        </w:rPr>
        <w:lastRenderedPageBreak/>
        <w:t>City and Contractor, which increases or decreases the cost to City, or changes or modifies the Statement of Services or Delivery Schedule. Any amendment is effective only in the specific instance and for the specific purpose identified in the amendment.</w:t>
      </w:r>
    </w:p>
    <w:p w14:paraId="64294AF1" w14:textId="77777777" w:rsidR="002A7F71" w:rsidRDefault="002A7F71">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1F2CE9E0" w14:textId="77777777" w:rsidR="002A7F71" w:rsidRDefault="002A7F71">
      <w:pPr>
        <w:rPr>
          <w:rFonts w:ascii="Arial" w:hAnsi="Arial" w:cs="Arial"/>
          <w:sz w:val="24"/>
          <w:szCs w:val="24"/>
        </w:rPr>
      </w:pPr>
      <w:r>
        <w:rPr>
          <w:rFonts w:ascii="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1915068D" w14:textId="77777777" w:rsidR="002A7F71" w:rsidRDefault="002A7F71">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56A91056" w14:textId="77777777" w:rsidR="002A7F71" w:rsidRDefault="002A7F71">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2EE4872A" w14:textId="77777777" w:rsidR="002A7F71" w:rsidRDefault="002A7F71">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10221A85" w14:textId="77777777" w:rsidR="002A7F71" w:rsidRDefault="002A7F71">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07602601" w14:textId="77777777" w:rsidR="002A7F71" w:rsidRDefault="002A7F71">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0E9EA4FF" w14:textId="77777777" w:rsidR="002A7F71" w:rsidRDefault="002A7F71">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772C79B0" w14:textId="77777777" w:rsidR="002A7F71" w:rsidRDefault="002A7F71">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004557D7" w14:textId="77777777" w:rsidR="002A7F71" w:rsidRDefault="002A7F71">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7F47932A" w14:textId="77777777" w:rsidR="002A7F71" w:rsidRDefault="002A7F71">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77E5BE13" w14:textId="77777777" w:rsidR="002A7F71" w:rsidRDefault="002A7F71">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43B9C4E1" w14:textId="77777777" w:rsidR="002A7F71" w:rsidRDefault="002A7F71">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48C2CDD2" w14:textId="77777777" w:rsidR="002A7F71" w:rsidRDefault="002A7F71">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745EC235" w14:textId="77777777" w:rsidR="002A7F71" w:rsidRDefault="002A7F71">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724D720C" w14:textId="77777777" w:rsidR="002A7F71" w:rsidRDefault="002A7F71">
      <w:pPr>
        <w:pStyle w:val="Heading2"/>
        <w:rPr>
          <w:rFonts w:ascii="Arial" w:hAnsi="Arial" w:cs="Arial"/>
          <w:sz w:val="24"/>
          <w:szCs w:val="24"/>
        </w:rPr>
      </w:pPr>
      <w:r>
        <w:rPr>
          <w:rFonts w:ascii="Arial" w:hAnsi="Arial" w:cs="Arial"/>
          <w:sz w:val="24"/>
          <w:szCs w:val="24"/>
        </w:rPr>
        <w:lastRenderedPageBreak/>
        <w:t>14.6.</w:t>
      </w:r>
      <w:r>
        <w:tab/>
      </w:r>
      <w:r>
        <w:rPr>
          <w:rFonts w:ascii="Arial" w:hAnsi="Arial" w:cs="Arial"/>
          <w:sz w:val="24"/>
          <w:szCs w:val="24"/>
        </w:rPr>
        <w:t>Laws or Regulations of Federal or State Grants</w:t>
      </w:r>
    </w:p>
    <w:p w14:paraId="201D2DDF" w14:textId="77777777" w:rsidR="002A7F71" w:rsidRDefault="002A7F71">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1A759310" w14:textId="77777777" w:rsidR="002A7F71" w:rsidRDefault="002A7F71">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2B97987E" w14:textId="77777777" w:rsidR="002A7F71" w:rsidRDefault="002A7F71">
      <w:pPr>
        <w:pStyle w:val="BodyText"/>
        <w:numPr>
          <w:ilvl w:val="0"/>
          <w:numId w:val="18"/>
        </w:numPr>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71C1DEC8" w14:textId="77777777" w:rsidR="002A7F71" w:rsidRDefault="002A7F71">
      <w:pPr>
        <w:pStyle w:val="BodyText"/>
        <w:numPr>
          <w:ilvl w:val="0"/>
          <w:numId w:val="18"/>
        </w:numPr>
        <w:rPr>
          <w:rFonts w:ascii="Arial" w:hAnsi="Arial" w:cs="Arial"/>
          <w:sz w:val="24"/>
          <w:szCs w:val="24"/>
        </w:rPr>
      </w:pPr>
      <w:r>
        <w:rPr>
          <w:rFonts w:ascii="Arial" w:hAnsi="Arial" w:cs="Arial"/>
        </w:rPr>
        <w:t>Contractor shall provide the business license number in the space provided on the signature page of the Contract.</w:t>
      </w:r>
    </w:p>
    <w:p w14:paraId="358C83A9" w14:textId="77777777" w:rsidR="002A7F71" w:rsidRDefault="002A7F71">
      <w:pPr>
        <w:pStyle w:val="BodyText"/>
        <w:numPr>
          <w:ilvl w:val="0"/>
          <w:numId w:val="18"/>
        </w:numPr>
        <w:rPr>
          <w:rFonts w:ascii="Arial" w:hAnsi="Arial" w:cs="Arial"/>
          <w:sz w:val="24"/>
          <w:szCs w:val="24"/>
        </w:rPr>
      </w:pPr>
      <w:r>
        <w:rPr>
          <w:rFonts w:ascii="Arial" w:hAnsi="Arial" w:cs="Arial"/>
        </w:rPr>
        <w:t>Contractor shall pay all fees due under BC Chapter 7.01 during the Term of the Contract.</w:t>
      </w:r>
    </w:p>
    <w:p w14:paraId="6AA3BE89" w14:textId="77777777" w:rsidR="002A7F71" w:rsidRDefault="002A7F71">
      <w:pPr>
        <w:pStyle w:val="BodyText"/>
        <w:numPr>
          <w:ilvl w:val="0"/>
          <w:numId w:val="18"/>
        </w:numPr>
        <w:rPr>
          <w:rFonts w:ascii="Arial" w:hAnsi="Arial" w:cs="Arial"/>
          <w:sz w:val="24"/>
          <w:szCs w:val="24"/>
        </w:rPr>
      </w:pPr>
      <w:r>
        <w:rPr>
          <w:rFonts w:ascii="Arial" w:hAnsi="Arial" w:cs="Arial"/>
        </w:rPr>
        <w:t>City may withhold payments due under the Contract to satisfy the amount due for a business license.</w:t>
      </w:r>
    </w:p>
    <w:p w14:paraId="26D18D4D" w14:textId="77777777" w:rsidR="002A7F71" w:rsidRDefault="002A7F71">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50267C4B" w14:textId="77777777" w:rsidR="002A7F71" w:rsidRDefault="002A7F71">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6F7B215C" w14:textId="77777777" w:rsidR="002A7F71" w:rsidRDefault="002A7F71">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61BBB7A3" w14:textId="77777777" w:rsidR="002A7F71" w:rsidRDefault="002A7F71">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7980D3BC" w14:textId="77777777" w:rsidR="002A7F71" w:rsidRDefault="002A7F71">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E47C63C" w14:textId="77777777" w:rsidR="002A7F71" w:rsidRDefault="002A7F71">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028CDE37" w14:textId="77777777" w:rsidR="002A7F71" w:rsidRDefault="002A7F71">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7135A577" w14:textId="77777777" w:rsidR="002A7F71" w:rsidRDefault="002A7F71">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3219BCFF" w14:textId="77777777" w:rsidR="002A7F71" w:rsidRDefault="002A7F71">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2074494C" w14:textId="77777777" w:rsidR="002A7F71" w:rsidRDefault="002A7F71">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282CA71A" w14:textId="77777777" w:rsidR="002A7F71" w:rsidRDefault="002A7F71">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541356A7" w14:textId="77777777" w:rsidR="002A7F71" w:rsidRDefault="002A7F71">
      <w:pPr>
        <w:rPr>
          <w:rFonts w:ascii="Arial" w:hAnsi="Arial" w:cs="Arial"/>
          <w:sz w:val="24"/>
          <w:szCs w:val="24"/>
        </w:rPr>
      </w:pPr>
      <w:r>
        <w:rPr>
          <w:rFonts w:ascii="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w:t>
      </w:r>
      <w:r>
        <w:rPr>
          <w:rFonts w:ascii="Arial" w:hAnsi="Arial" w:cs="Arial"/>
        </w:rPr>
        <w:lastRenderedPageBreak/>
        <w:t>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04F02614" w14:textId="77777777" w:rsidR="002A7F71" w:rsidRDefault="002A7F71">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0BF185D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4BA841E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10F5089F" w14:textId="77777777" w:rsidR="002A7F71" w:rsidRDefault="002A7F71">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23587D1A"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14C410E9"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 xml:space="preserve">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w:t>
      </w:r>
      <w:r>
        <w:rPr>
          <w:rFonts w:ascii="Arial" w:hAnsi="Arial" w:cs="Arial"/>
          <w:sz w:val="24"/>
          <w:szCs w:val="24"/>
        </w:rPr>
        <w:lastRenderedPageBreak/>
        <w:t>misconduct or negligent acts, errors, or omissions of Contractor or Contractor’s agents, employees, or subcontractors associated with the Work.</w:t>
      </w:r>
    </w:p>
    <w:p w14:paraId="40C9728B" w14:textId="77777777" w:rsidR="002A7F71" w:rsidRDefault="002A7F71">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0B3C054F" w14:textId="77777777" w:rsidR="002A7F71" w:rsidRDefault="002A7F71">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18A44DC4" w14:textId="77777777" w:rsidR="002A7F71" w:rsidRDefault="002A7F71">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248162B" w14:textId="77777777" w:rsidR="002A7F71" w:rsidRDefault="002A7F71">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528751C7" w14:textId="77777777" w:rsidR="002A7F71" w:rsidRDefault="002A7F71">
      <w:pPr>
        <w:pStyle w:val="BodyText"/>
        <w:numPr>
          <w:ilvl w:val="0"/>
          <w:numId w:val="21"/>
        </w:numPr>
        <w:rPr>
          <w:rFonts w:ascii="Arial" w:hAnsi="Arial" w:cs="Arial"/>
          <w:sz w:val="24"/>
          <w:szCs w:val="24"/>
        </w:rPr>
      </w:pPr>
      <w:r>
        <w:rPr>
          <w:rFonts w:ascii="Arial" w:hAnsi="Arial" w:cs="Arial"/>
          <w:b/>
        </w:rPr>
        <w:t>Certificates of Insurance</w:t>
      </w:r>
      <w:r>
        <w:rPr>
          <w:rFonts w:ascii="Arial" w:hAnsi="Arial" w:cs="Arial"/>
        </w:rPr>
        <w:t>.</w:t>
      </w:r>
    </w:p>
    <w:p w14:paraId="2C591756" w14:textId="77777777" w:rsidR="002A7F71" w:rsidRDefault="002A7F71">
      <w:pPr>
        <w:pStyle w:val="BodyText"/>
        <w:numPr>
          <w:ilvl w:val="1"/>
          <w:numId w:val="22"/>
        </w:numPr>
        <w:rPr>
          <w:rFonts w:ascii="Arial" w:hAnsi="Arial" w:cs="Arial"/>
          <w:sz w:val="24"/>
          <w:szCs w:val="24"/>
        </w:rPr>
      </w:pPr>
      <w:r>
        <w:rPr>
          <w:rFonts w:ascii="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70E10220" w14:textId="77777777" w:rsidR="002A7F71" w:rsidRDefault="002A7F71">
      <w:pPr>
        <w:pStyle w:val="BodyText"/>
        <w:numPr>
          <w:ilvl w:val="1"/>
          <w:numId w:val="22"/>
        </w:numPr>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031B7533" w14:textId="77777777" w:rsidR="002A7F71" w:rsidRDefault="002A7F71">
      <w:pPr>
        <w:pStyle w:val="BodyText"/>
        <w:numPr>
          <w:ilvl w:val="1"/>
          <w:numId w:val="22"/>
        </w:numPr>
        <w:rPr>
          <w:rFonts w:ascii="Arial" w:hAnsi="Arial" w:cs="Arial"/>
          <w:sz w:val="24"/>
          <w:szCs w:val="24"/>
        </w:rPr>
      </w:pPr>
      <w:r>
        <w:rPr>
          <w:rFonts w:ascii="Arial" w:hAnsi="Arial" w:cs="Arial"/>
        </w:rPr>
        <w:t>The certificates of insurance shall specify all parties who are Additional Insureds.</w:t>
      </w:r>
    </w:p>
    <w:p w14:paraId="4F6BC479" w14:textId="77777777" w:rsidR="002A7F71" w:rsidRDefault="002A7F71">
      <w:pPr>
        <w:pStyle w:val="BodyText"/>
        <w:numPr>
          <w:ilvl w:val="0"/>
          <w:numId w:val="21"/>
        </w:numPr>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745D3078" w14:textId="77777777" w:rsidR="002A7F71" w:rsidRDefault="002A7F71">
      <w:pPr>
        <w:pStyle w:val="BodyText"/>
        <w:numPr>
          <w:ilvl w:val="0"/>
          <w:numId w:val="21"/>
        </w:numPr>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36196C9F" w14:textId="77777777" w:rsidR="002A7F71" w:rsidRDefault="002A7F71">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0868E183" w14:textId="77777777" w:rsidR="002A7F71" w:rsidRDefault="002A7F71">
      <w:pPr>
        <w:rPr>
          <w:rFonts w:ascii="Arial" w:hAnsi="Arial" w:cs="Arial"/>
          <w:sz w:val="24"/>
          <w:szCs w:val="24"/>
        </w:rPr>
      </w:pPr>
      <w:r>
        <w:rPr>
          <w:rFonts w:ascii="Arial" w:hAnsi="Arial" w:cs="Arial"/>
        </w:rPr>
        <w:t>In all instances concerning the forms of insurance required under the Contract:</w:t>
      </w:r>
    </w:p>
    <w:p w14:paraId="3AA01896" w14:textId="77777777" w:rsidR="002A7F71" w:rsidRDefault="002A7F71">
      <w:pPr>
        <w:pStyle w:val="BodyText"/>
        <w:numPr>
          <w:ilvl w:val="0"/>
          <w:numId w:val="23"/>
        </w:numPr>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2ADBFC99" w14:textId="77777777" w:rsidR="002A7F71" w:rsidRDefault="002A7F71">
      <w:pPr>
        <w:pStyle w:val="BodyText"/>
        <w:numPr>
          <w:ilvl w:val="0"/>
          <w:numId w:val="23"/>
        </w:numPr>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547645B5" w14:textId="77777777" w:rsidR="002A7F71" w:rsidRDefault="002A7F71">
      <w:pPr>
        <w:pStyle w:val="BodyText"/>
        <w:numPr>
          <w:ilvl w:val="0"/>
          <w:numId w:val="23"/>
        </w:numPr>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585D1F92" w14:textId="77777777" w:rsidR="002A7F71" w:rsidRDefault="002A7F71">
      <w:pPr>
        <w:pStyle w:val="BodyText"/>
        <w:numPr>
          <w:ilvl w:val="0"/>
          <w:numId w:val="23"/>
        </w:numPr>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079116AF" w14:textId="77777777" w:rsidR="002A7F71" w:rsidRDefault="002A7F71">
      <w:pPr>
        <w:pStyle w:val="BodyText"/>
        <w:numPr>
          <w:ilvl w:val="0"/>
          <w:numId w:val="23"/>
        </w:numPr>
        <w:rPr>
          <w:rFonts w:ascii="Arial" w:hAnsi="Arial" w:cs="Arial"/>
          <w:sz w:val="24"/>
          <w:szCs w:val="24"/>
        </w:rPr>
      </w:pPr>
      <w:r>
        <w:rPr>
          <w:rFonts w:ascii="Arial" w:hAnsi="Arial" w:cs="Arial"/>
          <w:b/>
        </w:rPr>
        <w:lastRenderedPageBreak/>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641FE79A" w14:textId="77777777" w:rsidR="002A7F71" w:rsidRDefault="002A7F71">
      <w:pPr>
        <w:pStyle w:val="BodyText"/>
        <w:numPr>
          <w:ilvl w:val="0"/>
          <w:numId w:val="23"/>
        </w:numPr>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3704E958" w14:textId="77777777" w:rsidR="002A7F71" w:rsidRDefault="002A7F71">
      <w:pPr>
        <w:pStyle w:val="BodyText"/>
        <w:numPr>
          <w:ilvl w:val="1"/>
          <w:numId w:val="24"/>
        </w:numPr>
        <w:rPr>
          <w:rFonts w:ascii="Arial" w:hAnsi="Arial" w:cs="Arial"/>
          <w:sz w:val="24"/>
          <w:szCs w:val="24"/>
        </w:rPr>
      </w:pPr>
      <w:r>
        <w:rPr>
          <w:rFonts w:ascii="Arial" w:hAnsi="Arial" w:cs="Arial"/>
        </w:rPr>
        <w:t>promptly notify City, and</w:t>
      </w:r>
    </w:p>
    <w:p w14:paraId="5278AC1C" w14:textId="77777777" w:rsidR="002A7F71" w:rsidRDefault="002A7F71">
      <w:pPr>
        <w:pStyle w:val="BodyText"/>
        <w:numPr>
          <w:ilvl w:val="1"/>
          <w:numId w:val="24"/>
        </w:numPr>
        <w:rPr>
          <w:rFonts w:ascii="Arial" w:hAnsi="Arial" w:cs="Arial"/>
          <w:sz w:val="24"/>
          <w:szCs w:val="24"/>
        </w:rPr>
      </w:pPr>
      <w:r>
        <w:rPr>
          <w:rFonts w:ascii="Arial" w:hAnsi="Arial" w:cs="Arial"/>
        </w:rPr>
        <w:t>immediately replace the insurance with an insurer meeting the same minimum requirements required by the Contract.</w:t>
      </w:r>
    </w:p>
    <w:p w14:paraId="7A6F9186" w14:textId="77777777" w:rsidR="002A7F71" w:rsidRDefault="002A7F71">
      <w:pPr>
        <w:pStyle w:val="BodyText"/>
        <w:numPr>
          <w:ilvl w:val="0"/>
          <w:numId w:val="23"/>
        </w:numPr>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252EBC57" w14:textId="77777777" w:rsidR="002A7F71" w:rsidRDefault="002A7F71">
      <w:pPr>
        <w:pStyle w:val="BodyText"/>
        <w:numPr>
          <w:ilvl w:val="0"/>
          <w:numId w:val="23"/>
        </w:numPr>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0CFC166C" w14:textId="77777777" w:rsidR="002A7F71" w:rsidRDefault="002A7F71">
      <w:pPr>
        <w:pStyle w:val="BodyText"/>
        <w:numPr>
          <w:ilvl w:val="0"/>
          <w:numId w:val="23"/>
        </w:numPr>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with reasonable certainty that the increased premium was due to changes required by City. Premium savings from any changes shall be refunded to City.</w:t>
      </w:r>
    </w:p>
    <w:p w14:paraId="3DF4E548" w14:textId="77777777" w:rsidR="002A7F71" w:rsidRDefault="002A7F71">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770CCFE6" w14:textId="77777777" w:rsidR="002A7F71" w:rsidRDefault="002A7F71">
      <w:pPr>
        <w:pStyle w:val="Heading2"/>
        <w:rPr>
          <w:rFonts w:ascii="Arial" w:hAnsi="Arial" w:cs="Arial"/>
          <w:sz w:val="24"/>
          <w:szCs w:val="24"/>
        </w:rPr>
      </w:pPr>
      <w:r>
        <w:rPr>
          <w:rFonts w:ascii="Arial" w:hAnsi="Arial" w:cs="Arial"/>
          <w:sz w:val="24"/>
          <w:szCs w:val="24"/>
        </w:rPr>
        <w:lastRenderedPageBreak/>
        <w:t>19.1.</w:t>
      </w:r>
      <w:r>
        <w:tab/>
      </w:r>
      <w:r>
        <w:rPr>
          <w:rFonts w:ascii="Arial" w:hAnsi="Arial" w:cs="Arial"/>
          <w:sz w:val="24"/>
          <w:szCs w:val="24"/>
        </w:rPr>
        <w:t>PERSONAL SERVICE (NO AUTO)</w:t>
      </w:r>
    </w:p>
    <w:p w14:paraId="4190951A" w14:textId="77777777" w:rsidR="002A7F71" w:rsidRDefault="002A7F71">
      <w:pPr>
        <w:rPr>
          <w:rFonts w:ascii="Arial" w:hAnsi="Arial" w:cs="Arial"/>
          <w:sz w:val="24"/>
          <w:szCs w:val="24"/>
        </w:rPr>
      </w:pPr>
      <w:r>
        <w:rPr>
          <w:rFonts w:ascii="Arial" w:hAnsi="Arial" w:cs="Arial"/>
          <w:b/>
          <w:sz w:val="24"/>
          <w:szCs w:val="24"/>
        </w:rPr>
        <w:t>WORKERS’ COMPENSATION INSURANCE AND EMPLOYER LIABILITY INSURANCE</w:t>
      </w:r>
    </w:p>
    <w:p w14:paraId="62B4EBAC" w14:textId="77777777" w:rsidR="002A7F71" w:rsidRDefault="002A7F71">
      <w:pPr>
        <w:rPr>
          <w:rFonts w:ascii="Arial" w:hAnsi="Arial" w:cs="Arial"/>
          <w:sz w:val="24"/>
          <w:szCs w:val="24"/>
        </w:rPr>
      </w:pPr>
      <w:r>
        <w:rPr>
          <w:rFonts w:ascii="Arial" w:hAnsi="Arial" w:cs="Arial"/>
          <w:sz w:val="24"/>
          <w:szCs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51C20E88" w14:textId="77777777" w:rsidR="002A7F71" w:rsidRDefault="002A7F71">
      <w:pPr>
        <w:rPr>
          <w:rFonts w:ascii="Arial" w:hAnsi="Arial" w:cs="Arial"/>
          <w:sz w:val="24"/>
          <w:szCs w:val="24"/>
        </w:rPr>
      </w:pPr>
      <w:r>
        <w:rPr>
          <w:rFonts w:ascii="Arial" w:hAnsi="Arial" w:cs="Arial"/>
          <w:b/>
          <w:sz w:val="24"/>
          <w:szCs w:val="24"/>
        </w:rPr>
        <w:t>COMMERCIAL GENERAL LIABILITY INSURANCE</w:t>
      </w:r>
    </w:p>
    <w:p w14:paraId="1CB46A93" w14:textId="77777777" w:rsidR="002A7F71" w:rsidRDefault="002A7F71">
      <w:pPr>
        <w:rPr>
          <w:rFonts w:ascii="Arial" w:hAnsi="Arial" w:cs="Arial"/>
          <w:sz w:val="24"/>
          <w:szCs w:val="24"/>
        </w:rPr>
      </w:pPr>
      <w:r>
        <w:rPr>
          <w:rFonts w:ascii="Arial" w:hAnsi="Arial" w:cs="Arial"/>
          <w:sz w:val="24"/>
          <w:szCs w:val="24"/>
        </w:rPr>
        <w:t xml:space="preserve">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contractual liability covering the assumption of the tort liability (including defense costs) </w:t>
      </w:r>
      <w:r>
        <w:rPr>
          <w:rFonts w:ascii="Arial" w:hAnsi="Arial" w:cs="Arial"/>
          <w:sz w:val="24"/>
          <w:szCs w:val="24"/>
        </w:rPr>
        <w:lastRenderedPageBreak/>
        <w:t>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506943D9" w14:textId="77777777" w:rsidR="002A7F71" w:rsidRDefault="002A7F71">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715CA961" w14:textId="77777777" w:rsidR="002A7F71" w:rsidRDefault="002A7F71">
      <w:pPr>
        <w:rPr>
          <w:rFonts w:ascii="Arial" w:hAnsi="Arial" w:cs="Arial"/>
          <w:sz w:val="24"/>
          <w:szCs w:val="24"/>
        </w:rPr>
      </w:pPr>
      <w:r>
        <w:rPr>
          <w:rFonts w:ascii="Arial" w:hAnsi="Arial" w:cs="Arial"/>
          <w:sz w:val="24"/>
          <w:szCs w:val="24"/>
        </w:rPr>
        <w:t>Contractor waives Contractor’s right to recover from City, its officials, employees, agents, and volunteers for any damages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0ADAEE5F" w14:textId="77777777" w:rsidR="002A7F71" w:rsidRDefault="002A7F71">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0BF75701" w14:textId="77777777" w:rsidR="002A7F71" w:rsidRDefault="002A7F71">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2AD18673" w14:textId="77777777" w:rsidR="002A7F71" w:rsidRDefault="002A7F71">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431FAF6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319838FD"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37CF1B7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1F5CE6F1" w14:textId="77777777" w:rsidR="002A7F71" w:rsidRDefault="002A7F71">
      <w:pPr>
        <w:pStyle w:val="BodyText"/>
        <w:numPr>
          <w:ilvl w:val="0"/>
          <w:numId w:val="25"/>
        </w:numPr>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4A146F10"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0CF5858B"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lastRenderedPageBreak/>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4210D8F9"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the Contract shall be binding upon and shall inure to the benefit of the Parties and their respective successors and assigns, if any.</w:t>
      </w:r>
    </w:p>
    <w:p w14:paraId="1B609A22" w14:textId="77777777" w:rsidR="002A7F71" w:rsidRDefault="002A7F71">
      <w:pPr>
        <w:pStyle w:val="Heading1"/>
        <w:rPr>
          <w:rFonts w:ascii="Arial" w:hAnsi="Arial" w:cs="Arial"/>
          <w:sz w:val="24"/>
          <w:szCs w:val="24"/>
        </w:rPr>
      </w:pPr>
      <w:r>
        <w:rPr>
          <w:rFonts w:ascii="Arial" w:hAnsi="Arial" w:cs="Arial"/>
          <w:sz w:val="24"/>
          <w:szCs w:val="24"/>
        </w:rPr>
        <w:t>22.</w:t>
      </w:r>
      <w:r>
        <w:tab/>
      </w:r>
      <w:r>
        <w:rPr>
          <w:rFonts w:ascii="Arial" w:hAnsi="Arial" w:cs="Arial"/>
          <w:sz w:val="24"/>
          <w:szCs w:val="24"/>
        </w:rPr>
        <w:t>Notice</w:t>
      </w:r>
    </w:p>
    <w:p w14:paraId="6405BD60" w14:textId="77777777" w:rsidR="002A7F71" w:rsidRDefault="002A7F71">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4B3F0077" w14:textId="77777777" w:rsidR="002A7F71" w:rsidRDefault="002A7F71">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4B01A0FC" w14:textId="77777777" w:rsidR="002A7F71" w:rsidRDefault="002A7F71">
      <w:pPr>
        <w:pStyle w:val="BodyText"/>
        <w:numPr>
          <w:ilvl w:val="0"/>
          <w:numId w:val="27"/>
        </w:numPr>
        <w:rPr>
          <w:rFonts w:ascii="Arial" w:hAnsi="Arial" w:cs="Arial"/>
          <w:sz w:val="24"/>
          <w:szCs w:val="24"/>
        </w:rPr>
      </w:pPr>
      <w:r>
        <w:rPr>
          <w:rFonts w:ascii="Arial" w:hAnsi="Arial" w:cs="Arial"/>
        </w:rPr>
        <w:t>Give the notice in writing; and</w:t>
      </w:r>
    </w:p>
    <w:p w14:paraId="1889AF87" w14:textId="77777777" w:rsidR="002A7F71" w:rsidRDefault="002A7F71">
      <w:pPr>
        <w:pStyle w:val="BodyText"/>
        <w:numPr>
          <w:ilvl w:val="0"/>
          <w:numId w:val="27"/>
        </w:numPr>
        <w:rPr>
          <w:rFonts w:ascii="Arial" w:hAnsi="Arial" w:cs="Arial"/>
          <w:sz w:val="24"/>
          <w:szCs w:val="24"/>
        </w:rPr>
      </w:pPr>
      <w:r>
        <w:rPr>
          <w:rFonts w:ascii="Arial" w:hAnsi="Arial" w:cs="Arial"/>
        </w:rPr>
        <w:t>Use one of the following methods of delivery, each of which for purposes of this Contract is a writing:</w:t>
      </w:r>
    </w:p>
    <w:p w14:paraId="751F888F" w14:textId="77777777" w:rsidR="002A7F71" w:rsidRDefault="002A7F71">
      <w:pPr>
        <w:pStyle w:val="BodyText"/>
        <w:numPr>
          <w:ilvl w:val="1"/>
          <w:numId w:val="28"/>
        </w:numPr>
        <w:rPr>
          <w:rFonts w:ascii="Arial" w:hAnsi="Arial" w:cs="Arial"/>
          <w:sz w:val="24"/>
          <w:szCs w:val="24"/>
        </w:rPr>
      </w:pPr>
      <w:r>
        <w:rPr>
          <w:rFonts w:ascii="Arial" w:hAnsi="Arial" w:cs="Arial"/>
        </w:rPr>
        <w:t>Personal delivery, or</w:t>
      </w:r>
    </w:p>
    <w:p w14:paraId="55C6D0D5" w14:textId="77777777" w:rsidR="002A7F71" w:rsidRDefault="002A7F71">
      <w:pPr>
        <w:pStyle w:val="BodyText"/>
        <w:numPr>
          <w:ilvl w:val="1"/>
          <w:numId w:val="28"/>
        </w:numPr>
        <w:rPr>
          <w:rFonts w:ascii="Arial" w:hAnsi="Arial" w:cs="Arial"/>
          <w:sz w:val="24"/>
          <w:szCs w:val="24"/>
        </w:rPr>
      </w:pPr>
      <w:r>
        <w:rPr>
          <w:rFonts w:ascii="Arial" w:hAnsi="Arial" w:cs="Arial"/>
        </w:rPr>
        <w:t>Mail.</w:t>
      </w:r>
    </w:p>
    <w:p w14:paraId="47465106" w14:textId="77777777" w:rsidR="002A7F71" w:rsidRDefault="002A7F71">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6F9F1E41" w14:textId="77777777" w:rsidR="002A7F71" w:rsidRDefault="002A7F71">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2A7F71" w14:paraId="787CC86B" w14:textId="77777777">
        <w:trPr>
          <w:cantSplit/>
        </w:trPr>
        <w:tc>
          <w:tcPr>
            <w:tcW w:w="4703" w:type="dxa"/>
            <w:tcBorders>
              <w:top w:val="nil"/>
              <w:left w:val="nil"/>
              <w:bottom w:val="nil"/>
              <w:right w:val="nil"/>
            </w:tcBorders>
            <w:tcMar>
              <w:top w:w="0" w:type="dxa"/>
              <w:left w:w="108" w:type="dxa"/>
              <w:bottom w:w="0" w:type="dxa"/>
              <w:right w:w="108" w:type="dxa"/>
            </w:tcMar>
          </w:tcPr>
          <w:p w14:paraId="4658A3F7" w14:textId="77777777" w:rsidR="002A7F71" w:rsidRPr="00F451E8" w:rsidRDefault="002A7F71">
            <w:pPr>
              <w:spacing w:after="0"/>
              <w:jc w:val="both"/>
              <w:rPr>
                <w:rFonts w:ascii="Arial" w:hAnsi="Arial" w:cs="Arial"/>
                <w:sz w:val="24"/>
                <w:szCs w:val="24"/>
                <w:lang w:val="es-ES"/>
              </w:rPr>
            </w:pPr>
            <w:r w:rsidRPr="00F451E8">
              <w:rPr>
                <w:rFonts w:ascii="Arial" w:hAnsi="Arial" w:cs="Arial"/>
                <w:b/>
                <w:u w:val="single"/>
                <w:lang w:val="es-ES"/>
              </w:rPr>
              <w:t>For Contractor</w:t>
            </w:r>
          </w:p>
          <w:p w14:paraId="51971A6A"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2CDD2CA0"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3C05C0FB" w14:textId="77777777" w:rsidR="002A7F71" w:rsidRDefault="002A7F71">
            <w:pPr>
              <w:spacing w:after="0"/>
              <w:jc w:val="both"/>
              <w:rPr>
                <w:rFonts w:ascii="Arial" w:hAnsi="Arial" w:cs="Arial"/>
                <w:sz w:val="24"/>
                <w:szCs w:val="24"/>
              </w:rPr>
            </w:pPr>
            <w:r>
              <w:rPr>
                <w:rFonts w:ascii="Arial" w:hAnsi="Arial" w:cs="Arial"/>
                <w:b/>
                <w:u w:val="single"/>
              </w:rPr>
              <w:t>For City</w:t>
            </w:r>
          </w:p>
          <w:p w14:paraId="43C92244" w14:textId="77777777" w:rsidR="002A7F71" w:rsidRDefault="002A7F71">
            <w:pPr>
              <w:spacing w:after="0"/>
              <w:jc w:val="both"/>
              <w:rPr>
                <w:rFonts w:ascii="Arial" w:hAnsi="Arial" w:cs="Arial"/>
                <w:sz w:val="24"/>
                <w:szCs w:val="24"/>
              </w:rPr>
            </w:pPr>
            <w:r>
              <w:rPr>
                <w:rFonts w:ascii="Arial" w:hAnsi="Arial" w:cs="Arial"/>
                <w:sz w:val="20"/>
                <w:szCs w:val="20"/>
              </w:rPr>
              <w:t>City of Beaverton</w:t>
            </w:r>
          </w:p>
          <w:p w14:paraId="163476AD" w14:textId="77777777" w:rsidR="002A7F71" w:rsidRDefault="002A7F71">
            <w:pPr>
              <w:spacing w:after="0"/>
              <w:jc w:val="both"/>
              <w:rPr>
                <w:rFonts w:ascii="Arial" w:hAnsi="Arial" w:cs="Arial"/>
                <w:sz w:val="24"/>
                <w:szCs w:val="24"/>
              </w:rPr>
            </w:pPr>
            <w:r>
              <w:rPr>
                <w:rFonts w:ascii="Arial" w:hAnsi="Arial" w:cs="Arial"/>
              </w:rPr>
              <w:t>Attn: Jessie Hall</w:t>
            </w:r>
          </w:p>
          <w:p w14:paraId="75B99ADE" w14:textId="77777777" w:rsidR="002A7F71" w:rsidRDefault="002A7F71">
            <w:pPr>
              <w:spacing w:after="0"/>
              <w:jc w:val="both"/>
              <w:rPr>
                <w:rFonts w:ascii="Arial" w:hAnsi="Arial" w:cs="Arial"/>
                <w:sz w:val="24"/>
                <w:szCs w:val="24"/>
              </w:rPr>
            </w:pPr>
            <w:r>
              <w:rPr>
                <w:rFonts w:ascii="Arial" w:hAnsi="Arial" w:cs="Arial"/>
              </w:rPr>
              <w:t>P.O. Box 4755</w:t>
            </w:r>
          </w:p>
          <w:p w14:paraId="6C77368C" w14:textId="77777777" w:rsidR="002A7F71" w:rsidRDefault="002A7F71">
            <w:pPr>
              <w:spacing w:after="0"/>
              <w:jc w:val="both"/>
              <w:rPr>
                <w:rFonts w:ascii="Arial" w:hAnsi="Arial" w:cs="Arial"/>
                <w:sz w:val="24"/>
                <w:szCs w:val="24"/>
              </w:rPr>
            </w:pPr>
            <w:r>
              <w:rPr>
                <w:rFonts w:ascii="Arial" w:hAnsi="Arial" w:cs="Arial"/>
              </w:rPr>
              <w:t>Beaverton, OR 97076-4755</w:t>
            </w:r>
          </w:p>
          <w:p w14:paraId="34749B76" w14:textId="77777777" w:rsidR="002A7F71" w:rsidRDefault="002A7F71">
            <w:pPr>
              <w:spacing w:after="0"/>
              <w:jc w:val="both"/>
              <w:rPr>
                <w:rFonts w:ascii="Arial" w:hAnsi="Arial" w:cs="Arial"/>
                <w:sz w:val="24"/>
                <w:szCs w:val="24"/>
              </w:rPr>
            </w:pPr>
            <w:r>
              <w:rPr>
                <w:rFonts w:ascii="Arial" w:hAnsi="Arial" w:cs="Arial"/>
              </w:rPr>
              <w:t> </w:t>
            </w:r>
          </w:p>
        </w:tc>
      </w:tr>
      <w:tr w:rsidR="002A7F71" w14:paraId="5A8D73D4" w14:textId="77777777">
        <w:trPr>
          <w:cantSplit/>
        </w:trPr>
        <w:tc>
          <w:tcPr>
            <w:tcW w:w="4703" w:type="dxa"/>
            <w:tcBorders>
              <w:top w:val="nil"/>
              <w:left w:val="nil"/>
              <w:bottom w:val="nil"/>
              <w:right w:val="nil"/>
            </w:tcBorders>
            <w:tcMar>
              <w:top w:w="0" w:type="dxa"/>
              <w:left w:w="108" w:type="dxa"/>
              <w:bottom w:w="0" w:type="dxa"/>
              <w:right w:w="108" w:type="dxa"/>
            </w:tcMar>
          </w:tcPr>
          <w:p w14:paraId="6621A6CE" w14:textId="77777777" w:rsidR="002A7F71" w:rsidRDefault="002A7F71">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4092971" w14:textId="77777777" w:rsidR="002A7F71" w:rsidRDefault="002A7F71">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5E87B083" w14:textId="77777777" w:rsidR="002A7F71" w:rsidRDefault="002A7F71">
            <w:pPr>
              <w:spacing w:after="0"/>
              <w:jc w:val="both"/>
              <w:rPr>
                <w:rFonts w:ascii="Arial" w:hAnsi="Arial" w:cs="Arial"/>
                <w:sz w:val="24"/>
                <w:szCs w:val="24"/>
              </w:rPr>
            </w:pPr>
            <w:r>
              <w:rPr>
                <w:rFonts w:ascii="Arial" w:hAnsi="Arial" w:cs="Arial"/>
              </w:rPr>
              <w:t>City Attorney’s Office</w:t>
            </w:r>
          </w:p>
          <w:p w14:paraId="168B70FA" w14:textId="77777777" w:rsidR="002A7F71" w:rsidRDefault="002A7F71">
            <w:pPr>
              <w:spacing w:after="0"/>
              <w:jc w:val="both"/>
              <w:rPr>
                <w:rFonts w:ascii="Arial" w:hAnsi="Arial" w:cs="Arial"/>
                <w:sz w:val="24"/>
                <w:szCs w:val="24"/>
              </w:rPr>
            </w:pPr>
            <w:r>
              <w:rPr>
                <w:rFonts w:ascii="Arial" w:hAnsi="Arial" w:cs="Arial"/>
              </w:rPr>
              <w:t>Attn: Grace Wong</w:t>
            </w:r>
          </w:p>
          <w:p w14:paraId="7E79E30F" w14:textId="77777777" w:rsidR="002A7F71" w:rsidRDefault="002A7F71">
            <w:pPr>
              <w:spacing w:after="0"/>
              <w:jc w:val="both"/>
              <w:rPr>
                <w:rFonts w:ascii="Arial" w:hAnsi="Arial" w:cs="Arial"/>
                <w:sz w:val="24"/>
                <w:szCs w:val="24"/>
              </w:rPr>
            </w:pPr>
            <w:r>
              <w:rPr>
                <w:rFonts w:ascii="Arial" w:hAnsi="Arial" w:cs="Arial"/>
              </w:rPr>
              <w:t>P.O. Box 4755</w:t>
            </w:r>
          </w:p>
          <w:p w14:paraId="2508B827" w14:textId="77777777" w:rsidR="002A7F71" w:rsidRDefault="002A7F71">
            <w:pPr>
              <w:spacing w:after="0"/>
              <w:jc w:val="both"/>
              <w:rPr>
                <w:rFonts w:ascii="Arial" w:hAnsi="Arial" w:cs="Arial"/>
                <w:sz w:val="24"/>
                <w:szCs w:val="24"/>
              </w:rPr>
            </w:pPr>
            <w:r>
              <w:rPr>
                <w:rFonts w:ascii="Arial" w:hAnsi="Arial" w:cs="Arial"/>
              </w:rPr>
              <w:t>Beaverton, OR 97076-4755</w:t>
            </w:r>
          </w:p>
        </w:tc>
      </w:tr>
    </w:tbl>
    <w:p w14:paraId="7FA166AD" w14:textId="77777777" w:rsidR="002A7F71" w:rsidRDefault="002A7F71">
      <w:pPr>
        <w:spacing w:after="0"/>
        <w:rPr>
          <w:sz w:val="2"/>
          <w:szCs w:val="2"/>
        </w:rPr>
      </w:pPr>
    </w:p>
    <w:p w14:paraId="6DECF2CE" w14:textId="77777777" w:rsidR="002A7F71" w:rsidRDefault="002A7F71">
      <w:pPr>
        <w:pStyle w:val="Heading2"/>
        <w:rPr>
          <w:rFonts w:ascii="Arial" w:hAnsi="Arial" w:cs="Arial"/>
          <w:sz w:val="24"/>
          <w:szCs w:val="24"/>
        </w:rPr>
      </w:pPr>
      <w:r>
        <w:rPr>
          <w:rFonts w:ascii="Arial" w:hAnsi="Arial" w:cs="Arial"/>
          <w:sz w:val="24"/>
          <w:szCs w:val="24"/>
        </w:rPr>
        <w:lastRenderedPageBreak/>
        <w:t>22.3.</w:t>
      </w:r>
      <w:r>
        <w:tab/>
      </w:r>
      <w:r>
        <w:rPr>
          <w:rFonts w:ascii="Arial" w:hAnsi="Arial" w:cs="Arial"/>
          <w:sz w:val="24"/>
          <w:szCs w:val="24"/>
        </w:rPr>
        <w:t>Notice Requirements</w:t>
      </w:r>
    </w:p>
    <w:p w14:paraId="362BC1B2" w14:textId="77777777" w:rsidR="002A7F71" w:rsidRDefault="002A7F71">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47B2A30E" w14:textId="77777777" w:rsidR="002A7F71" w:rsidRDefault="002A7F71">
      <w:pPr>
        <w:pStyle w:val="BodyText"/>
        <w:numPr>
          <w:ilvl w:val="0"/>
          <w:numId w:val="29"/>
        </w:numPr>
        <w:rPr>
          <w:rFonts w:ascii="Arial" w:hAnsi="Arial" w:cs="Arial"/>
          <w:sz w:val="24"/>
          <w:szCs w:val="24"/>
        </w:rPr>
      </w:pPr>
      <w:r>
        <w:rPr>
          <w:rFonts w:ascii="Arial" w:hAnsi="Arial" w:cs="Arial"/>
        </w:rPr>
        <w:t>If the Notice is delivered in person, upon receipt as indicated by the date on the signed receipt.</w:t>
      </w:r>
    </w:p>
    <w:p w14:paraId="2B261E50" w14:textId="77777777" w:rsidR="002A7F71" w:rsidRDefault="002A7F71">
      <w:pPr>
        <w:pStyle w:val="BodyText"/>
        <w:numPr>
          <w:ilvl w:val="0"/>
          <w:numId w:val="29"/>
        </w:numPr>
        <w:rPr>
          <w:rFonts w:ascii="Arial" w:hAnsi="Arial" w:cs="Arial"/>
          <w:sz w:val="24"/>
          <w:szCs w:val="24"/>
        </w:rPr>
      </w:pPr>
      <w:r>
        <w:rPr>
          <w:rFonts w:ascii="Arial" w:hAnsi="Arial" w:cs="Arial"/>
        </w:rPr>
        <w:t>If the Notice is sent by mail, upon five days after mailing.</w:t>
      </w:r>
    </w:p>
    <w:p w14:paraId="7065AED0" w14:textId="77777777" w:rsidR="002A7F71" w:rsidRDefault="002A7F71">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07F053E8"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29CFA5F4" w14:textId="77777777" w:rsidR="002A7F71" w:rsidRDefault="002A7F71">
      <w:pPr>
        <w:pStyle w:val="Heading1"/>
        <w:rPr>
          <w:rFonts w:ascii="Arial" w:hAnsi="Arial" w:cs="Arial"/>
          <w:sz w:val="24"/>
          <w:szCs w:val="24"/>
        </w:rPr>
      </w:pPr>
      <w:r>
        <w:rPr>
          <w:rFonts w:ascii="Arial" w:hAnsi="Arial" w:cs="Arial"/>
          <w:sz w:val="24"/>
          <w:szCs w:val="24"/>
        </w:rPr>
        <w:t>24.</w:t>
      </w:r>
      <w:r>
        <w:tab/>
      </w:r>
      <w:r>
        <w:rPr>
          <w:rFonts w:ascii="Arial" w:hAnsi="Arial" w:cs="Arial"/>
          <w:sz w:val="24"/>
          <w:szCs w:val="24"/>
        </w:rPr>
        <w:t>Conflict of Interest</w:t>
      </w:r>
    </w:p>
    <w:p w14:paraId="1E1E3DBC" w14:textId="77777777" w:rsidR="002A7F71" w:rsidRDefault="002A7F71">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093322B4" w14:textId="77777777" w:rsidR="002A7F71" w:rsidRDefault="002A7F71">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09C6F8DC" w14:textId="77777777" w:rsidR="002A7F71" w:rsidRDefault="002A7F71">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3145BC81" w14:textId="77777777" w:rsidR="002A7F71" w:rsidRDefault="002A7F71">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5B5D7DA0" w14:textId="77777777" w:rsidR="002A7F71" w:rsidRDefault="002A7F71">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2CA93805" w14:textId="77777777" w:rsidR="002A7F71" w:rsidRDefault="002A7F71">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72D6E9EF" w14:textId="77777777" w:rsidR="002A7F71" w:rsidRDefault="002A7F71">
      <w:pPr>
        <w:rPr>
          <w:rFonts w:ascii="Arial" w:hAnsi="Arial" w:cs="Arial"/>
          <w:sz w:val="24"/>
          <w:szCs w:val="24"/>
        </w:rPr>
      </w:pPr>
      <w:r>
        <w:rPr>
          <w:rFonts w:ascii="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w:t>
      </w:r>
      <w:r>
        <w:rPr>
          <w:rFonts w:ascii="Arial" w:hAnsi="Arial" w:cs="Arial"/>
        </w:rPr>
        <w:lastRenderedPageBreak/>
        <w:t>as all continuing obligations indicated in the Contract, will survive final payment to Contractor, completion of the Work and termination or completion of the Contract.</w:t>
      </w:r>
    </w:p>
    <w:p w14:paraId="39D97906" w14:textId="77777777" w:rsidR="002A7F71" w:rsidRDefault="002A7F71">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6704B71D" w14:textId="77777777" w:rsidR="002A7F71" w:rsidRDefault="002A7F71">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3AF1CEDE" w14:textId="77777777" w:rsidR="002A7F71" w:rsidRDefault="002A7F71">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6999F3BC" w14:textId="77777777" w:rsidR="002A7F71" w:rsidRDefault="002A7F71">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52287260" w14:textId="77777777" w:rsidR="002A7F71" w:rsidRDefault="002A7F71">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74B8A91C" w14:textId="77777777" w:rsidR="002A7F71" w:rsidRDefault="002A7F71">
      <w:pPr>
        <w:rPr>
          <w:rFonts w:ascii="Arial" w:hAnsi="Arial" w:cs="Arial"/>
          <w:sz w:val="24"/>
          <w:szCs w:val="24"/>
        </w:rPr>
      </w:pPr>
      <w:r>
        <w:rPr>
          <w:rFonts w:ascii="Arial" w:hAnsi="Arial" w:cs="Arial"/>
          <w:sz w:val="24"/>
          <w:szCs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6B3C8803" w14:textId="77777777" w:rsidR="002A7F71" w:rsidRDefault="002A7F71">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0C3ACA36"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466C3B7B" w14:textId="77777777" w:rsidR="002A7F71" w:rsidRDefault="002A7F71">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4132AA8F" w14:textId="77777777" w:rsidR="002A7F71" w:rsidRDefault="002A7F71">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4FC617B9" w14:textId="77777777" w:rsidR="002A7F71" w:rsidRDefault="002A7F71">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7D8903FF" w14:textId="77777777" w:rsidR="002A7F71" w:rsidRDefault="002A7F71">
      <w:pPr>
        <w:rPr>
          <w:rFonts w:ascii="Arial" w:hAnsi="Arial" w:cs="Arial"/>
          <w:sz w:val="24"/>
          <w:szCs w:val="24"/>
        </w:rPr>
      </w:pPr>
      <w:r>
        <w:rPr>
          <w:rFonts w:ascii="Arial" w:hAnsi="Arial" w:cs="Arial"/>
          <w:sz w:val="24"/>
          <w:szCs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hAnsi="Arial" w:cs="Arial"/>
          <w:sz w:val="24"/>
          <w:szCs w:val="24"/>
        </w:rPr>
        <w:lastRenderedPageBreak/>
        <w:t>agreements between the Parties on the matters contained in the Contract are expressly merged and superseded by the Contract.</w:t>
      </w:r>
    </w:p>
    <w:p w14:paraId="0C6B4E24" w14:textId="77777777" w:rsidR="002A7F71" w:rsidRDefault="002A7F71">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0BA18257" w14:textId="77777777" w:rsidR="002A7F71" w:rsidRDefault="002A7F71">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4E11ED1D" w14:textId="77777777" w:rsidR="002A7F71" w:rsidRDefault="002A7F71">
      <w:pPr>
        <w:rPr>
          <w:rFonts w:ascii="Arial" w:hAnsi="Arial" w:cs="Arial"/>
          <w:sz w:val="24"/>
          <w:szCs w:val="24"/>
        </w:rPr>
      </w:pPr>
      <w:r>
        <w:rPr>
          <w:rFonts w:ascii="Arial" w:hAnsi="Arial" w:cs="Arial"/>
        </w:rPr>
        <w:t>If Contractor’s Work includes any public-engagement materials or any end product that is a public-facing document:</w:t>
      </w:r>
    </w:p>
    <w:p w14:paraId="20C26381" w14:textId="77777777" w:rsidR="002A7F71" w:rsidRDefault="002A7F71">
      <w:pPr>
        <w:pStyle w:val="BodyText"/>
        <w:numPr>
          <w:ilvl w:val="0"/>
          <w:numId w:val="30"/>
        </w:numPr>
        <w:rPr>
          <w:rFonts w:ascii="Arial" w:hAnsi="Arial" w:cs="Arial"/>
          <w:sz w:val="24"/>
          <w:szCs w:val="24"/>
        </w:rPr>
      </w:pPr>
      <w:r>
        <w:rPr>
          <w:rFonts w:ascii="Arial" w:hAnsi="Arial" w:cs="Arial"/>
        </w:rPr>
        <w:t>Contractor shall comply with City’s branding manual requirements in effect at the time the Contract is executed;</w:t>
      </w:r>
    </w:p>
    <w:p w14:paraId="5C7009E7" w14:textId="77777777" w:rsidR="002A7F71" w:rsidRDefault="002A7F71">
      <w:pPr>
        <w:pStyle w:val="BodyText"/>
        <w:numPr>
          <w:ilvl w:val="0"/>
          <w:numId w:val="30"/>
        </w:numPr>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5138CC0B" w14:textId="77777777" w:rsidR="002A7F71" w:rsidRDefault="002A7F71">
      <w:pPr>
        <w:pStyle w:val="BodyText"/>
        <w:numPr>
          <w:ilvl w:val="0"/>
          <w:numId w:val="30"/>
        </w:numPr>
        <w:rPr>
          <w:rFonts w:ascii="Arial" w:hAnsi="Arial" w:cs="Arial"/>
          <w:sz w:val="24"/>
          <w:szCs w:val="24"/>
        </w:rPr>
      </w:pPr>
      <w:r>
        <w:rPr>
          <w:rFonts w:ascii="Arial" w:hAnsi="Arial" w:cs="Arial"/>
        </w:rPr>
        <w:t>As used in this subsection:</w:t>
      </w:r>
    </w:p>
    <w:p w14:paraId="0AF895C5" w14:textId="77777777" w:rsidR="002A7F71" w:rsidRDefault="002A7F71">
      <w:pPr>
        <w:pStyle w:val="BodyText"/>
        <w:numPr>
          <w:ilvl w:val="1"/>
          <w:numId w:val="31"/>
        </w:numPr>
        <w:rPr>
          <w:rFonts w:ascii="Arial" w:hAnsi="Arial" w:cs="Arial"/>
          <w:sz w:val="24"/>
          <w:szCs w:val="24"/>
        </w:rPr>
      </w:pPr>
      <w:r>
        <w:rPr>
          <w:rFonts w:ascii="Arial" w:hAnsi="Arial" w:cs="Arial"/>
        </w:rPr>
        <w:t>“Public-engagement materials” includes, but is not limited to, flyers, postcards, posters, and handouts.</w:t>
      </w:r>
    </w:p>
    <w:p w14:paraId="7D965CE3" w14:textId="77777777" w:rsidR="002A7F71" w:rsidRDefault="002A7F71">
      <w:pPr>
        <w:pStyle w:val="BodyText"/>
        <w:numPr>
          <w:ilvl w:val="1"/>
          <w:numId w:val="31"/>
        </w:numPr>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0C7664C2" w14:textId="77777777" w:rsidR="002A7F71" w:rsidRPr="003D0B9D" w:rsidRDefault="002A7F71">
      <w:pPr>
        <w:rPr>
          <w:rFonts w:ascii="Arial" w:hAnsi="Arial" w:cs="Arial"/>
          <w:sz w:val="24"/>
          <w:szCs w:val="24"/>
        </w:rPr>
      </w:pPr>
    </w:p>
    <w:p w14:paraId="3504165B" w14:textId="77777777" w:rsidR="002A7F71" w:rsidRPr="008C34ED" w:rsidRDefault="002A7F71" w:rsidP="003A3724">
      <w:pPr>
        <w:spacing w:after="120" w:line="240" w:lineRule="auto"/>
        <w:jc w:val="both"/>
        <w:rPr>
          <w:rFonts w:ascii="Arial" w:hAnsi="Arial" w:cs="Arial"/>
        </w:rPr>
      </w:pPr>
      <w:r w:rsidRPr="008C34ED">
        <w:rPr>
          <w:rFonts w:ascii="Arial" w:hAnsi="Arial" w:cs="Arial"/>
        </w:rPr>
        <w:t>The Parties, by their signatures below, acknowledge having read and understood the Contract, and agree to be bound by its terms and conditions.</w:t>
      </w:r>
    </w:p>
    <w:p w14:paraId="78DA7D84" w14:textId="77777777" w:rsidR="002A7F71" w:rsidRPr="008C34ED" w:rsidRDefault="002A7F71"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710E36B3" w14:textId="77777777" w:rsidR="002A7F71" w:rsidRPr="008C34ED" w:rsidRDefault="002A7F71" w:rsidP="003A3724">
      <w:pPr>
        <w:spacing w:after="0" w:line="240" w:lineRule="auto"/>
        <w:jc w:val="both"/>
        <w:rPr>
          <w:rFonts w:ascii="Arial" w:hAnsi="Arial" w:cs="Arial"/>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2A7F71" w:rsidRPr="008C34ED" w14:paraId="682BEA25" w14:textId="77777777" w:rsidTr="00F32ED4">
        <w:tc>
          <w:tcPr>
            <w:tcW w:w="4418" w:type="dxa"/>
            <w:hideMark/>
          </w:tcPr>
          <w:p w14:paraId="495553B5" w14:textId="77777777" w:rsidR="002A7F71" w:rsidRPr="008C34ED" w:rsidRDefault="002A7F71">
            <w:pPr>
              <w:jc w:val="both"/>
              <w:rPr>
                <w:rFonts w:ascii="Arial" w:hAnsi="Arial" w:cs="Arial"/>
                <w:b/>
                <w:sz w:val="22"/>
                <w:szCs w:val="22"/>
              </w:rPr>
            </w:pPr>
            <w:r w:rsidRPr="008C34ED">
              <w:rPr>
                <w:rFonts w:ascii="Arial" w:hAnsi="Arial" w:cs="Arial"/>
                <w:b/>
                <w:sz w:val="22"/>
                <w:szCs w:val="22"/>
              </w:rPr>
              <w:t>City Of Beaverton</w:t>
            </w:r>
          </w:p>
        </w:tc>
        <w:tc>
          <w:tcPr>
            <w:tcW w:w="4942" w:type="dxa"/>
            <w:hideMark/>
          </w:tcPr>
          <w:p w14:paraId="69792922" w14:textId="77777777" w:rsidR="002A7F71" w:rsidRPr="00DD0987" w:rsidRDefault="002A7F71">
            <w:pPr>
              <w:jc w:val="both"/>
              <w:rPr>
                <w:rFonts w:ascii="Arial" w:hAnsi="Arial" w:cs="Arial"/>
                <w:b/>
                <w:bCs/>
                <w:sz w:val="22"/>
                <w:szCs w:val="22"/>
              </w:rPr>
            </w:pPr>
            <w:r w:rsidRPr="00DD0987">
              <w:rPr>
                <w:rFonts w:ascii="Arial" w:hAnsi="Arial" w:cs="Arial"/>
                <w:b/>
                <w:bCs/>
                <w:color w:val="1A1A1A"/>
                <w:sz w:val="22"/>
                <w:szCs w:val="22"/>
                <w:shd w:val="clear" w:color="auto" w:fill="FFFFFF"/>
              </w:rPr>
              <w:t>BALDWIN CONSULTING LLC</w:t>
            </w:r>
          </w:p>
        </w:tc>
      </w:tr>
      <w:tr w:rsidR="002A7F71" w:rsidRPr="008C34ED" w14:paraId="0AF4FB03" w14:textId="77777777" w:rsidTr="00F32ED4">
        <w:tc>
          <w:tcPr>
            <w:tcW w:w="4418" w:type="dxa"/>
          </w:tcPr>
          <w:p w14:paraId="77C283C0" w14:textId="77777777" w:rsidR="002A7F71" w:rsidRPr="008C34ED" w:rsidRDefault="002A7F71">
            <w:pPr>
              <w:jc w:val="both"/>
              <w:rPr>
                <w:rFonts w:ascii="Arial" w:hAnsi="Arial" w:cs="Arial"/>
                <w:sz w:val="22"/>
                <w:szCs w:val="22"/>
              </w:rPr>
            </w:pPr>
          </w:p>
        </w:tc>
        <w:tc>
          <w:tcPr>
            <w:tcW w:w="4942" w:type="dxa"/>
          </w:tcPr>
          <w:p w14:paraId="7C4555AE" w14:textId="77777777" w:rsidR="002A7F71" w:rsidRPr="008C34ED" w:rsidRDefault="002A7F71">
            <w:pPr>
              <w:jc w:val="both"/>
              <w:rPr>
                <w:rFonts w:ascii="Arial" w:hAnsi="Arial" w:cs="Arial"/>
                <w:sz w:val="22"/>
                <w:szCs w:val="22"/>
              </w:rPr>
            </w:pPr>
          </w:p>
        </w:tc>
      </w:tr>
      <w:tr w:rsidR="002A7F71" w:rsidRPr="008C34ED" w14:paraId="67C8CD8D" w14:textId="77777777" w:rsidTr="00F32ED4">
        <w:tc>
          <w:tcPr>
            <w:tcW w:w="4418" w:type="dxa"/>
            <w:vAlign w:val="bottom"/>
            <w:hideMark/>
          </w:tcPr>
          <w:p w14:paraId="734E4CD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1DE7FC5A"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p>
        </w:tc>
      </w:tr>
      <w:tr w:rsidR="002A7F71" w:rsidRPr="008C34ED" w14:paraId="5587F780" w14:textId="77777777" w:rsidTr="00F32ED4">
        <w:tc>
          <w:tcPr>
            <w:tcW w:w="4418" w:type="dxa"/>
            <w:vAlign w:val="bottom"/>
          </w:tcPr>
          <w:p w14:paraId="1D8297A8" w14:textId="77777777" w:rsidR="002A7F71" w:rsidRPr="008C34ED" w:rsidRDefault="002A7F71">
            <w:pPr>
              <w:rPr>
                <w:rFonts w:ascii="Arial" w:hAnsi="Arial" w:cs="Arial"/>
                <w:sz w:val="22"/>
                <w:szCs w:val="22"/>
              </w:rPr>
            </w:pPr>
          </w:p>
        </w:tc>
        <w:tc>
          <w:tcPr>
            <w:tcW w:w="4942" w:type="dxa"/>
            <w:vAlign w:val="center"/>
          </w:tcPr>
          <w:p w14:paraId="3600BE0E" w14:textId="77777777" w:rsidR="002A7F71" w:rsidRPr="008C34ED" w:rsidRDefault="002A7F71">
            <w:pPr>
              <w:jc w:val="right"/>
              <w:rPr>
                <w:rFonts w:ascii="Arial" w:hAnsi="Arial" w:cs="Arial"/>
                <w:sz w:val="22"/>
                <w:szCs w:val="22"/>
              </w:rPr>
            </w:pPr>
          </w:p>
        </w:tc>
      </w:tr>
      <w:tr w:rsidR="002A7F71" w:rsidRPr="008C34ED" w14:paraId="44FB4C60" w14:textId="77777777" w:rsidTr="00F32ED4">
        <w:tc>
          <w:tcPr>
            <w:tcW w:w="4418" w:type="dxa"/>
            <w:vAlign w:val="bottom"/>
            <w:hideMark/>
          </w:tcPr>
          <w:p w14:paraId="5C2ED03A" w14:textId="77777777" w:rsidR="002A7F71" w:rsidRPr="008C34ED" w:rsidRDefault="002A7F71">
            <w:pPr>
              <w:rPr>
                <w:rFonts w:ascii="Arial" w:hAnsi="Arial" w:cs="Arial"/>
                <w:sz w:val="22"/>
                <w:szCs w:val="22"/>
              </w:rPr>
            </w:pPr>
            <w:r w:rsidRPr="008C34ED">
              <w:rPr>
                <w:rFonts w:ascii="Arial" w:hAnsi="Arial" w:cs="Arial"/>
                <w:sz w:val="22"/>
                <w:szCs w:val="22"/>
              </w:rPr>
              <w:t xml:space="preserve">Print Name: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center"/>
            <w:hideMark/>
          </w:tcPr>
          <w:p w14:paraId="0AF71C09"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Print Name: </w:t>
            </w:r>
            <w:r w:rsidRPr="008C34ED">
              <w:rPr>
                <w:rFonts w:ascii="Arial" w:hAnsi="Arial" w:cs="Arial"/>
                <w:sz w:val="22"/>
                <w:szCs w:val="22"/>
                <w:u w:val="single"/>
              </w:rPr>
              <w:t>                                                         </w:t>
            </w:r>
          </w:p>
        </w:tc>
      </w:tr>
      <w:tr w:rsidR="002A7F71" w:rsidRPr="008C34ED" w14:paraId="0CF1A489" w14:textId="77777777" w:rsidTr="00F32ED4">
        <w:tc>
          <w:tcPr>
            <w:tcW w:w="4418" w:type="dxa"/>
            <w:vAlign w:val="bottom"/>
          </w:tcPr>
          <w:p w14:paraId="77ADE72C" w14:textId="77777777" w:rsidR="002A7F71" w:rsidRPr="008C34ED" w:rsidRDefault="002A7F71">
            <w:pPr>
              <w:rPr>
                <w:rFonts w:ascii="Arial" w:hAnsi="Arial" w:cs="Arial"/>
                <w:sz w:val="22"/>
                <w:szCs w:val="22"/>
              </w:rPr>
            </w:pPr>
          </w:p>
        </w:tc>
        <w:tc>
          <w:tcPr>
            <w:tcW w:w="4942" w:type="dxa"/>
          </w:tcPr>
          <w:p w14:paraId="658A7D31" w14:textId="77777777" w:rsidR="002A7F71" w:rsidRPr="008C34ED" w:rsidRDefault="002A7F71">
            <w:pPr>
              <w:jc w:val="both"/>
              <w:rPr>
                <w:rFonts w:ascii="Arial" w:hAnsi="Arial" w:cs="Arial"/>
                <w:sz w:val="22"/>
                <w:szCs w:val="22"/>
              </w:rPr>
            </w:pPr>
          </w:p>
        </w:tc>
      </w:tr>
      <w:tr w:rsidR="002A7F71" w:rsidRPr="008C34ED" w14:paraId="303ABB92" w14:textId="77777777" w:rsidTr="00F32ED4">
        <w:tc>
          <w:tcPr>
            <w:tcW w:w="4418" w:type="dxa"/>
            <w:vAlign w:val="bottom"/>
            <w:hideMark/>
          </w:tcPr>
          <w:p w14:paraId="2D41C62E" w14:textId="77777777" w:rsidR="002A7F71" w:rsidRPr="008C34ED" w:rsidRDefault="002A7F71">
            <w:pPr>
              <w:rPr>
                <w:rFonts w:ascii="Arial" w:hAnsi="Arial" w:cs="Arial"/>
                <w:sz w:val="22"/>
                <w:szCs w:val="22"/>
              </w:rPr>
            </w:pPr>
            <w:r w:rsidRPr="008C34ED">
              <w:rPr>
                <w:rFonts w:ascii="Arial" w:hAnsi="Arial" w:cs="Arial"/>
                <w:sz w:val="22"/>
                <w:szCs w:val="22"/>
              </w:rPr>
              <w:t xml:space="preserve">Title: </w:t>
            </w:r>
            <w:r w:rsidRPr="008C34ED">
              <w:rPr>
                <w:rFonts w:ascii="Arial" w:hAnsi="Arial" w:cs="Arial"/>
                <w:sz w:val="22"/>
                <w:szCs w:val="22"/>
                <w:u w:val="single"/>
              </w:rPr>
              <w:t>   </w:t>
            </w:r>
            <w:r>
              <w:rPr>
                <w:rFonts w:ascii="Arial" w:hAnsi="Arial" w:cs="Arial"/>
                <w:sz w:val="22"/>
                <w:szCs w:val="22"/>
                <w:u w:val="single"/>
              </w:rPr>
              <w:t xml:space="preserve">Assistant </w:t>
            </w:r>
            <w:r w:rsidRPr="008C34ED">
              <w:rPr>
                <w:rFonts w:ascii="Arial" w:hAnsi="Arial" w:cs="Arial"/>
                <w:sz w:val="22"/>
                <w:szCs w:val="22"/>
                <w:u w:val="single"/>
              </w:rPr>
              <w:t>City Manager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4F5CA535"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Title: </w:t>
            </w:r>
            <w:r w:rsidRPr="008C34ED">
              <w:rPr>
                <w:rFonts w:ascii="Arial" w:hAnsi="Arial" w:cs="Arial"/>
                <w:sz w:val="22"/>
                <w:szCs w:val="22"/>
                <w:u w:val="single"/>
              </w:rPr>
              <w:t>                                                                    </w:t>
            </w:r>
          </w:p>
        </w:tc>
      </w:tr>
      <w:tr w:rsidR="002A7F71" w:rsidRPr="008C34ED" w14:paraId="3AF776A6" w14:textId="77777777" w:rsidTr="00F32ED4">
        <w:tc>
          <w:tcPr>
            <w:tcW w:w="4418" w:type="dxa"/>
            <w:vAlign w:val="bottom"/>
          </w:tcPr>
          <w:p w14:paraId="583A974B" w14:textId="77777777" w:rsidR="002A7F71" w:rsidRPr="008C34ED" w:rsidRDefault="002A7F71">
            <w:pPr>
              <w:rPr>
                <w:rFonts w:ascii="Arial" w:hAnsi="Arial" w:cs="Arial"/>
                <w:sz w:val="22"/>
                <w:szCs w:val="22"/>
              </w:rPr>
            </w:pPr>
          </w:p>
        </w:tc>
        <w:tc>
          <w:tcPr>
            <w:tcW w:w="4942" w:type="dxa"/>
          </w:tcPr>
          <w:p w14:paraId="5ACB0E7B" w14:textId="77777777" w:rsidR="002A7F71" w:rsidRPr="008C34ED" w:rsidRDefault="002A7F71">
            <w:pPr>
              <w:jc w:val="both"/>
              <w:rPr>
                <w:rFonts w:ascii="Arial" w:hAnsi="Arial" w:cs="Arial"/>
                <w:sz w:val="22"/>
                <w:szCs w:val="22"/>
              </w:rPr>
            </w:pPr>
          </w:p>
        </w:tc>
      </w:tr>
      <w:tr w:rsidR="002A7F71" w:rsidRPr="008C34ED" w14:paraId="1549A583" w14:textId="77777777" w:rsidTr="00F32ED4">
        <w:tc>
          <w:tcPr>
            <w:tcW w:w="4418" w:type="dxa"/>
            <w:vAlign w:val="bottom"/>
            <w:hideMark/>
          </w:tcPr>
          <w:p w14:paraId="428FA2B5" w14:textId="77777777" w:rsidR="002A7F71" w:rsidRPr="008C34ED" w:rsidRDefault="002A7F71">
            <w:pPr>
              <w:rPr>
                <w:rFonts w:ascii="Arial" w:hAnsi="Arial" w:cs="Arial"/>
                <w:sz w:val="22"/>
                <w:szCs w:val="22"/>
              </w:rPr>
            </w:pPr>
            <w:r w:rsidRPr="008C34ED">
              <w:rPr>
                <w:rFonts w:ascii="Arial" w:hAnsi="Arial" w:cs="Arial"/>
                <w:sz w:val="22"/>
                <w:szCs w:val="22"/>
              </w:rPr>
              <w:t xml:space="preserve">Date: </w:t>
            </w:r>
            <w:r w:rsidRPr="008C34ED">
              <w:rPr>
                <w:rFonts w:ascii="Arial" w:hAnsi="Arial" w:cs="Arial"/>
                <w:sz w:val="22"/>
                <w:szCs w:val="22"/>
                <w:u w:val="single"/>
              </w:rPr>
              <w:t>                                                        </w:t>
            </w:r>
          </w:p>
        </w:tc>
        <w:tc>
          <w:tcPr>
            <w:tcW w:w="4942" w:type="dxa"/>
            <w:vAlign w:val="bottom"/>
            <w:hideMark/>
          </w:tcPr>
          <w:p w14:paraId="1B61E2E1"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Date: </w:t>
            </w:r>
            <w:r w:rsidRPr="008C34ED">
              <w:rPr>
                <w:rFonts w:ascii="Arial" w:hAnsi="Arial" w:cs="Arial"/>
                <w:sz w:val="22"/>
                <w:szCs w:val="22"/>
                <w:u w:val="single"/>
              </w:rPr>
              <w:t>                                                                   </w:t>
            </w:r>
          </w:p>
        </w:tc>
      </w:tr>
      <w:tr w:rsidR="002A7F71" w:rsidRPr="008C34ED" w14:paraId="1E7FD512" w14:textId="77777777" w:rsidTr="00F32ED4">
        <w:tc>
          <w:tcPr>
            <w:tcW w:w="4418" w:type="dxa"/>
          </w:tcPr>
          <w:p w14:paraId="455F48EA" w14:textId="77777777" w:rsidR="002A7F71" w:rsidRPr="008C34ED" w:rsidRDefault="002A7F71">
            <w:pPr>
              <w:jc w:val="both"/>
              <w:rPr>
                <w:rFonts w:ascii="Arial" w:hAnsi="Arial" w:cs="Arial"/>
                <w:sz w:val="22"/>
                <w:szCs w:val="22"/>
              </w:rPr>
            </w:pPr>
          </w:p>
        </w:tc>
        <w:tc>
          <w:tcPr>
            <w:tcW w:w="4942" w:type="dxa"/>
          </w:tcPr>
          <w:p w14:paraId="737D06EE" w14:textId="77777777" w:rsidR="002A7F71" w:rsidRPr="008C34ED" w:rsidRDefault="002A7F71">
            <w:pPr>
              <w:jc w:val="both"/>
              <w:rPr>
                <w:rFonts w:ascii="Arial" w:hAnsi="Arial" w:cs="Arial"/>
                <w:sz w:val="22"/>
                <w:szCs w:val="22"/>
              </w:rPr>
            </w:pPr>
          </w:p>
        </w:tc>
      </w:tr>
      <w:tr w:rsidR="002A7F71" w:rsidRPr="008C34ED" w14:paraId="2C06A714" w14:textId="77777777" w:rsidTr="00F32ED4">
        <w:tc>
          <w:tcPr>
            <w:tcW w:w="4418" w:type="dxa"/>
          </w:tcPr>
          <w:p w14:paraId="291DC9B7" w14:textId="77777777" w:rsidR="002A7F71" w:rsidRPr="008C34ED" w:rsidRDefault="002A7F71">
            <w:pPr>
              <w:jc w:val="both"/>
              <w:rPr>
                <w:rFonts w:ascii="Arial" w:hAnsi="Arial" w:cs="Arial"/>
                <w:sz w:val="22"/>
                <w:szCs w:val="22"/>
              </w:rPr>
            </w:pPr>
          </w:p>
        </w:tc>
        <w:tc>
          <w:tcPr>
            <w:tcW w:w="4942" w:type="dxa"/>
          </w:tcPr>
          <w:p w14:paraId="76D03177" w14:textId="77777777" w:rsidR="002A7F71" w:rsidRPr="008C34ED" w:rsidRDefault="002A7F71">
            <w:pPr>
              <w:jc w:val="both"/>
              <w:rPr>
                <w:rFonts w:ascii="Arial" w:hAnsi="Arial" w:cs="Arial"/>
                <w:sz w:val="22"/>
                <w:szCs w:val="22"/>
              </w:rPr>
            </w:pPr>
          </w:p>
        </w:tc>
      </w:tr>
      <w:tr w:rsidR="002A7F71" w:rsidRPr="008C34ED" w14:paraId="3173F63B" w14:textId="77777777" w:rsidTr="00F32ED4">
        <w:tc>
          <w:tcPr>
            <w:tcW w:w="4418" w:type="dxa"/>
            <w:hideMark/>
          </w:tcPr>
          <w:p w14:paraId="1644860E" w14:textId="77777777" w:rsidR="002A7F71" w:rsidRPr="008C34ED" w:rsidRDefault="002A7F71">
            <w:pPr>
              <w:jc w:val="both"/>
              <w:rPr>
                <w:rFonts w:ascii="Arial" w:hAnsi="Arial" w:cs="Arial"/>
                <w:sz w:val="22"/>
                <w:szCs w:val="22"/>
              </w:rPr>
            </w:pPr>
            <w:r w:rsidRPr="008C34ED">
              <w:rPr>
                <w:rFonts w:ascii="Arial" w:hAnsi="Arial" w:cs="Arial"/>
                <w:sz w:val="22"/>
                <w:szCs w:val="22"/>
              </w:rPr>
              <w:t>Approved as to legal sufficiency:</w:t>
            </w:r>
          </w:p>
        </w:tc>
        <w:tc>
          <w:tcPr>
            <w:tcW w:w="4942" w:type="dxa"/>
            <w:vAlign w:val="bottom"/>
            <w:hideMark/>
          </w:tcPr>
          <w:p w14:paraId="5DD78E1E"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City of Beaverton Business License No.: </w:t>
            </w:r>
            <w:r w:rsidRPr="008C34ED">
              <w:rPr>
                <w:rFonts w:ascii="Arial" w:hAnsi="Arial" w:cs="Arial"/>
                <w:sz w:val="22"/>
                <w:szCs w:val="22"/>
                <w:u w:val="single"/>
              </w:rPr>
              <w:t>            </w:t>
            </w:r>
          </w:p>
        </w:tc>
      </w:tr>
      <w:tr w:rsidR="002A7F71" w:rsidRPr="008C34ED" w14:paraId="4B8AE191" w14:textId="77777777" w:rsidTr="00F32ED4">
        <w:tc>
          <w:tcPr>
            <w:tcW w:w="4418" w:type="dxa"/>
          </w:tcPr>
          <w:p w14:paraId="48BA0D66" w14:textId="77777777" w:rsidR="002A7F71" w:rsidRPr="008C34ED" w:rsidRDefault="002A7F71">
            <w:pPr>
              <w:jc w:val="both"/>
              <w:rPr>
                <w:rFonts w:ascii="Arial" w:hAnsi="Arial" w:cs="Arial"/>
                <w:sz w:val="22"/>
                <w:szCs w:val="22"/>
              </w:rPr>
            </w:pPr>
          </w:p>
        </w:tc>
        <w:tc>
          <w:tcPr>
            <w:tcW w:w="4942" w:type="dxa"/>
          </w:tcPr>
          <w:p w14:paraId="24A0E556" w14:textId="77777777" w:rsidR="002A7F71" w:rsidRPr="008C34ED" w:rsidRDefault="002A7F71">
            <w:pPr>
              <w:jc w:val="both"/>
              <w:rPr>
                <w:rFonts w:ascii="Arial" w:hAnsi="Arial" w:cs="Arial"/>
                <w:sz w:val="22"/>
                <w:szCs w:val="22"/>
              </w:rPr>
            </w:pPr>
          </w:p>
        </w:tc>
      </w:tr>
      <w:tr w:rsidR="002A7F71" w:rsidRPr="008C34ED" w14:paraId="6A6AF825" w14:textId="77777777" w:rsidTr="00F32ED4">
        <w:tc>
          <w:tcPr>
            <w:tcW w:w="4418" w:type="dxa"/>
          </w:tcPr>
          <w:p w14:paraId="29FC62E6" w14:textId="77777777" w:rsidR="002A7F71" w:rsidRPr="008C34ED" w:rsidRDefault="002A7F71">
            <w:pPr>
              <w:jc w:val="both"/>
              <w:rPr>
                <w:rFonts w:ascii="Arial" w:hAnsi="Arial" w:cs="Arial"/>
                <w:sz w:val="22"/>
                <w:szCs w:val="22"/>
                <w:u w:val="single"/>
              </w:rPr>
            </w:pPr>
            <w:r w:rsidRPr="008C34ED">
              <w:rPr>
                <w:rFonts w:ascii="Arial" w:hAnsi="Arial" w:cs="Arial"/>
                <w:sz w:val="22"/>
                <w:szCs w:val="22"/>
                <w:u w:val="single"/>
              </w:rPr>
              <w:t>________________________________</w:t>
            </w:r>
          </w:p>
        </w:tc>
        <w:tc>
          <w:tcPr>
            <w:tcW w:w="4942" w:type="dxa"/>
            <w:vAlign w:val="bottom"/>
            <w:hideMark/>
          </w:tcPr>
          <w:p w14:paraId="526AE89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COBID Certification No.: </w:t>
            </w:r>
            <w:r w:rsidRPr="008C34ED">
              <w:rPr>
                <w:rFonts w:ascii="Arial" w:hAnsi="Arial" w:cs="Arial"/>
                <w:sz w:val="22"/>
                <w:szCs w:val="22"/>
                <w:u w:val="single"/>
              </w:rPr>
              <w:t>                                     </w:t>
            </w:r>
          </w:p>
        </w:tc>
      </w:tr>
      <w:tr w:rsidR="002A7F71" w14:paraId="1034FE81" w14:textId="77777777" w:rsidTr="00F32ED4">
        <w:tc>
          <w:tcPr>
            <w:tcW w:w="4418" w:type="dxa"/>
          </w:tcPr>
          <w:p w14:paraId="24BEA239" w14:textId="77777777" w:rsidR="002A7F71" w:rsidRDefault="002A7F71">
            <w:pPr>
              <w:jc w:val="both"/>
              <w:rPr>
                <w:rFonts w:ascii="Arial" w:hAnsi="Arial" w:cs="Arial"/>
                <w:sz w:val="22"/>
                <w:szCs w:val="22"/>
              </w:rPr>
            </w:pPr>
            <w:r>
              <w:rPr>
                <w:rFonts w:ascii="Arial" w:hAnsi="Arial" w:cs="Arial"/>
                <w:sz w:val="22"/>
                <w:szCs w:val="22"/>
              </w:rPr>
              <w:t>City Attorney</w:t>
            </w:r>
          </w:p>
        </w:tc>
        <w:tc>
          <w:tcPr>
            <w:tcW w:w="4942" w:type="dxa"/>
          </w:tcPr>
          <w:p w14:paraId="40622512" w14:textId="77777777" w:rsidR="002A7F71" w:rsidRDefault="002A7F71">
            <w:pPr>
              <w:jc w:val="both"/>
              <w:rPr>
                <w:rFonts w:ascii="Arial" w:hAnsi="Arial" w:cs="Arial"/>
                <w:sz w:val="22"/>
                <w:szCs w:val="22"/>
              </w:rPr>
            </w:pPr>
          </w:p>
        </w:tc>
      </w:tr>
    </w:tbl>
    <w:p w14:paraId="5C1461F8" w14:textId="77777777" w:rsidR="002A7F71" w:rsidRPr="006B4E6F" w:rsidRDefault="002A7F71" w:rsidP="006F4D54">
      <w:pPr>
        <w:rPr>
          <w:rFonts w:cstheme="minorHAnsi"/>
          <w:sz w:val="28"/>
          <w:szCs w:val="28"/>
        </w:rPr>
      </w:pPr>
    </w:p>
    <w:sectPr w:rsidR="002A7F71" w:rsidRPr="006B4E6F" w:rsidSect="002A7F7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43097" w14:textId="77777777" w:rsidR="005E54CC" w:rsidRDefault="005E54CC" w:rsidP="006F4D54">
      <w:r>
        <w:separator/>
      </w:r>
    </w:p>
  </w:endnote>
  <w:endnote w:type="continuationSeparator" w:id="0">
    <w:p w14:paraId="74DA8AAE" w14:textId="77777777" w:rsidR="005E54CC" w:rsidRDefault="005E54CC"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40D21" w14:textId="77777777" w:rsidR="005E54CC" w:rsidRDefault="005E54CC" w:rsidP="006F4D54">
      <w:r>
        <w:separator/>
      </w:r>
    </w:p>
  </w:footnote>
  <w:footnote w:type="continuationSeparator" w:id="0">
    <w:p w14:paraId="73ADF9AC" w14:textId="77777777" w:rsidR="005E54CC" w:rsidRDefault="005E54CC" w:rsidP="006F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4257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725F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58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5672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92B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A7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0E65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EF7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DA6B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EA72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7A965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F408A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891D8B"/>
    <w:multiLevelType w:val="multilevel"/>
    <w:tmpl w:val="4F4C8E9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2CB560C8"/>
    <w:multiLevelType w:val="multilevel"/>
    <w:tmpl w:val="752804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32D97705"/>
    <w:multiLevelType w:val="multilevel"/>
    <w:tmpl w:val="93C80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51520A6"/>
    <w:multiLevelType w:val="multilevel"/>
    <w:tmpl w:val="5B80CC5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8"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9"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1E825C7"/>
    <w:multiLevelType w:val="multilevel"/>
    <w:tmpl w:val="D40EB5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5"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8"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9"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F6B54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42"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43"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44"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45"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C33C0B"/>
    <w:multiLevelType w:val="multilevel"/>
    <w:tmpl w:val="421CA8D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8"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9" w15:restartNumberingAfterBreak="0">
    <w:nsid w:val="7D8477D5"/>
    <w:multiLevelType w:val="multilevel"/>
    <w:tmpl w:val="EC24E3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45"/>
  </w:num>
  <w:num w:numId="2" w16cid:durableId="1931086997">
    <w:abstractNumId w:val="31"/>
  </w:num>
  <w:num w:numId="3" w16cid:durableId="1862081627">
    <w:abstractNumId w:val="41"/>
  </w:num>
  <w:num w:numId="4" w16cid:durableId="376516578">
    <w:abstractNumId w:val="42"/>
  </w:num>
  <w:num w:numId="5" w16cid:durableId="646477901">
    <w:abstractNumId w:val="43"/>
  </w:num>
  <w:num w:numId="6" w16cid:durableId="908853890">
    <w:abstractNumId w:val="44"/>
  </w:num>
  <w:num w:numId="7" w16cid:durableId="903106356">
    <w:abstractNumId w:val="48"/>
  </w:num>
  <w:num w:numId="8" w16cid:durableId="1432509349">
    <w:abstractNumId w:val="23"/>
  </w:num>
  <w:num w:numId="9" w16cid:durableId="660734988">
    <w:abstractNumId w:val="32"/>
  </w:num>
  <w:num w:numId="10" w16cid:durableId="1723823421">
    <w:abstractNumId w:val="26"/>
  </w:num>
  <w:num w:numId="11" w16cid:durableId="1523587069">
    <w:abstractNumId w:val="24"/>
  </w:num>
  <w:num w:numId="12" w16cid:durableId="1484198615">
    <w:abstractNumId w:val="11"/>
  </w:num>
  <w:num w:numId="13" w16cid:durableId="1718166148">
    <w:abstractNumId w:val="13"/>
  </w:num>
  <w:num w:numId="14" w16cid:durableId="479158990">
    <w:abstractNumId w:val="16"/>
  </w:num>
  <w:num w:numId="15" w16cid:durableId="1196622646">
    <w:abstractNumId w:val="39"/>
  </w:num>
  <w:num w:numId="16" w16cid:durableId="678390172">
    <w:abstractNumId w:val="38"/>
  </w:num>
  <w:num w:numId="17" w16cid:durableId="1936357023">
    <w:abstractNumId w:val="27"/>
  </w:num>
  <w:num w:numId="18" w16cid:durableId="595138486">
    <w:abstractNumId w:val="29"/>
  </w:num>
  <w:num w:numId="19" w16cid:durableId="1459714692">
    <w:abstractNumId w:val="14"/>
  </w:num>
  <w:num w:numId="20" w16cid:durableId="612446522">
    <w:abstractNumId w:val="34"/>
  </w:num>
  <w:num w:numId="21" w16cid:durableId="1191918687">
    <w:abstractNumId w:val="20"/>
  </w:num>
  <w:num w:numId="22" w16cid:durableId="157549393">
    <w:abstractNumId w:val="33"/>
  </w:num>
  <w:num w:numId="23" w16cid:durableId="1262763637">
    <w:abstractNumId w:val="12"/>
  </w:num>
  <w:num w:numId="24" w16cid:durableId="655841911">
    <w:abstractNumId w:val="46"/>
  </w:num>
  <w:num w:numId="25" w16cid:durableId="1257595317">
    <w:abstractNumId w:val="15"/>
  </w:num>
  <w:num w:numId="26" w16cid:durableId="751976756">
    <w:abstractNumId w:val="10"/>
  </w:num>
  <w:num w:numId="27" w16cid:durableId="1460220318">
    <w:abstractNumId w:val="28"/>
  </w:num>
  <w:num w:numId="28" w16cid:durableId="848717052">
    <w:abstractNumId w:val="36"/>
  </w:num>
  <w:num w:numId="29" w16cid:durableId="2124568012">
    <w:abstractNumId w:val="50"/>
  </w:num>
  <w:num w:numId="30" w16cid:durableId="1440876702">
    <w:abstractNumId w:val="37"/>
  </w:num>
  <w:num w:numId="31" w16cid:durableId="249049962">
    <w:abstractNumId w:val="35"/>
  </w:num>
  <w:num w:numId="32" w16cid:durableId="1982805184">
    <w:abstractNumId w:val="47"/>
  </w:num>
  <w:num w:numId="33" w16cid:durableId="1267688747">
    <w:abstractNumId w:val="19"/>
  </w:num>
  <w:num w:numId="34" w16cid:durableId="1551571165">
    <w:abstractNumId w:val="25"/>
  </w:num>
  <w:num w:numId="35" w16cid:durableId="1026252543">
    <w:abstractNumId w:val="22"/>
  </w:num>
  <w:num w:numId="36" w16cid:durableId="1226259854">
    <w:abstractNumId w:val="49"/>
  </w:num>
  <w:num w:numId="37" w16cid:durableId="486357847">
    <w:abstractNumId w:val="30"/>
  </w:num>
  <w:num w:numId="38" w16cid:durableId="1002322236">
    <w:abstractNumId w:val="21"/>
  </w:num>
  <w:num w:numId="39" w16cid:durableId="247428921">
    <w:abstractNumId w:val="17"/>
  </w:num>
  <w:num w:numId="40" w16cid:durableId="482894903">
    <w:abstractNumId w:val="40"/>
  </w:num>
  <w:num w:numId="41" w16cid:durableId="1743869150">
    <w:abstractNumId w:val="18"/>
  </w:num>
  <w:num w:numId="42" w16cid:durableId="868295888">
    <w:abstractNumId w:val="9"/>
  </w:num>
  <w:num w:numId="43" w16cid:durableId="44373891">
    <w:abstractNumId w:val="7"/>
  </w:num>
  <w:num w:numId="44" w16cid:durableId="136338428">
    <w:abstractNumId w:val="6"/>
  </w:num>
  <w:num w:numId="45" w16cid:durableId="1571116465">
    <w:abstractNumId w:val="5"/>
  </w:num>
  <w:num w:numId="46" w16cid:durableId="1500853271">
    <w:abstractNumId w:val="4"/>
  </w:num>
  <w:num w:numId="47" w16cid:durableId="1191335592">
    <w:abstractNumId w:val="8"/>
  </w:num>
  <w:num w:numId="48" w16cid:durableId="949354716">
    <w:abstractNumId w:val="3"/>
  </w:num>
  <w:num w:numId="49" w16cid:durableId="181286498">
    <w:abstractNumId w:val="2"/>
  </w:num>
  <w:num w:numId="50" w16cid:durableId="1772507231">
    <w:abstractNumId w:val="1"/>
  </w:num>
  <w:num w:numId="51" w16cid:durableId="201093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11E02"/>
    <w:rsid w:val="0002180F"/>
    <w:rsid w:val="0002622B"/>
    <w:rsid w:val="000344A4"/>
    <w:rsid w:val="000448E4"/>
    <w:rsid w:val="00082177"/>
    <w:rsid w:val="00086C7E"/>
    <w:rsid w:val="00090F33"/>
    <w:rsid w:val="000B65D3"/>
    <w:rsid w:val="000D13C0"/>
    <w:rsid w:val="000D1F3A"/>
    <w:rsid w:val="000E04A1"/>
    <w:rsid w:val="000E6262"/>
    <w:rsid w:val="000F24CD"/>
    <w:rsid w:val="001000FA"/>
    <w:rsid w:val="00143BEF"/>
    <w:rsid w:val="00146298"/>
    <w:rsid w:val="00151BAD"/>
    <w:rsid w:val="0017164D"/>
    <w:rsid w:val="00182243"/>
    <w:rsid w:val="00183E8E"/>
    <w:rsid w:val="001A1C25"/>
    <w:rsid w:val="001A6F19"/>
    <w:rsid w:val="001D0D89"/>
    <w:rsid w:val="00202675"/>
    <w:rsid w:val="0020343E"/>
    <w:rsid w:val="00235BDF"/>
    <w:rsid w:val="00242CDB"/>
    <w:rsid w:val="00285631"/>
    <w:rsid w:val="0028736E"/>
    <w:rsid w:val="00293432"/>
    <w:rsid w:val="002A5741"/>
    <w:rsid w:val="002A7F71"/>
    <w:rsid w:val="002B51FA"/>
    <w:rsid w:val="002D0644"/>
    <w:rsid w:val="0031015E"/>
    <w:rsid w:val="003107AE"/>
    <w:rsid w:val="003157CB"/>
    <w:rsid w:val="003270DD"/>
    <w:rsid w:val="0033045C"/>
    <w:rsid w:val="00384766"/>
    <w:rsid w:val="00390974"/>
    <w:rsid w:val="003A3724"/>
    <w:rsid w:val="003D0B9D"/>
    <w:rsid w:val="003D1DD5"/>
    <w:rsid w:val="003D6BE2"/>
    <w:rsid w:val="003E371D"/>
    <w:rsid w:val="004571ED"/>
    <w:rsid w:val="0046618F"/>
    <w:rsid w:val="00466FD9"/>
    <w:rsid w:val="00485DD2"/>
    <w:rsid w:val="004A033B"/>
    <w:rsid w:val="004D6CDF"/>
    <w:rsid w:val="004E02B6"/>
    <w:rsid w:val="005115C2"/>
    <w:rsid w:val="00513F84"/>
    <w:rsid w:val="005155D1"/>
    <w:rsid w:val="00522BE9"/>
    <w:rsid w:val="0053130E"/>
    <w:rsid w:val="00573098"/>
    <w:rsid w:val="00573984"/>
    <w:rsid w:val="005A06ED"/>
    <w:rsid w:val="005A6A9A"/>
    <w:rsid w:val="005B2E44"/>
    <w:rsid w:val="005C3B5C"/>
    <w:rsid w:val="005C557B"/>
    <w:rsid w:val="005C686B"/>
    <w:rsid w:val="005E54CC"/>
    <w:rsid w:val="005E79DC"/>
    <w:rsid w:val="006120D1"/>
    <w:rsid w:val="006144A7"/>
    <w:rsid w:val="0061509B"/>
    <w:rsid w:val="00625F16"/>
    <w:rsid w:val="00626C9E"/>
    <w:rsid w:val="00653CA6"/>
    <w:rsid w:val="00684359"/>
    <w:rsid w:val="00691347"/>
    <w:rsid w:val="006A73CD"/>
    <w:rsid w:val="006B0590"/>
    <w:rsid w:val="006B4E6F"/>
    <w:rsid w:val="006F4D54"/>
    <w:rsid w:val="00727E8C"/>
    <w:rsid w:val="00756381"/>
    <w:rsid w:val="00771158"/>
    <w:rsid w:val="00775A27"/>
    <w:rsid w:val="00785DFD"/>
    <w:rsid w:val="007868FE"/>
    <w:rsid w:val="007D184D"/>
    <w:rsid w:val="00827F00"/>
    <w:rsid w:val="00830D6D"/>
    <w:rsid w:val="008558BD"/>
    <w:rsid w:val="00872E3C"/>
    <w:rsid w:val="00885458"/>
    <w:rsid w:val="008C34ED"/>
    <w:rsid w:val="008E5CC6"/>
    <w:rsid w:val="008F3C49"/>
    <w:rsid w:val="00904247"/>
    <w:rsid w:val="00907788"/>
    <w:rsid w:val="009214EE"/>
    <w:rsid w:val="00924DF4"/>
    <w:rsid w:val="009415F2"/>
    <w:rsid w:val="00970311"/>
    <w:rsid w:val="00983E80"/>
    <w:rsid w:val="00985D83"/>
    <w:rsid w:val="00990BDA"/>
    <w:rsid w:val="00993878"/>
    <w:rsid w:val="009A38F3"/>
    <w:rsid w:val="009C0BC4"/>
    <w:rsid w:val="009C710E"/>
    <w:rsid w:val="009D013C"/>
    <w:rsid w:val="009D6804"/>
    <w:rsid w:val="009F6403"/>
    <w:rsid w:val="009F7B86"/>
    <w:rsid w:val="00A464C0"/>
    <w:rsid w:val="00A579DA"/>
    <w:rsid w:val="00A7001C"/>
    <w:rsid w:val="00A76613"/>
    <w:rsid w:val="00A908C4"/>
    <w:rsid w:val="00AA002E"/>
    <w:rsid w:val="00AA1FFD"/>
    <w:rsid w:val="00AA2BF8"/>
    <w:rsid w:val="00AC7072"/>
    <w:rsid w:val="00B137D5"/>
    <w:rsid w:val="00B1439B"/>
    <w:rsid w:val="00B31794"/>
    <w:rsid w:val="00B36060"/>
    <w:rsid w:val="00B51D3A"/>
    <w:rsid w:val="00BA025E"/>
    <w:rsid w:val="00BA42C8"/>
    <w:rsid w:val="00BA7240"/>
    <w:rsid w:val="00BD43EC"/>
    <w:rsid w:val="00BE6274"/>
    <w:rsid w:val="00BF0DC5"/>
    <w:rsid w:val="00C029F9"/>
    <w:rsid w:val="00C04174"/>
    <w:rsid w:val="00C12859"/>
    <w:rsid w:val="00C336A4"/>
    <w:rsid w:val="00C421E2"/>
    <w:rsid w:val="00C43FFA"/>
    <w:rsid w:val="00C60E30"/>
    <w:rsid w:val="00C74261"/>
    <w:rsid w:val="00CF3A47"/>
    <w:rsid w:val="00CF4B9C"/>
    <w:rsid w:val="00D01B55"/>
    <w:rsid w:val="00D22B6F"/>
    <w:rsid w:val="00D3583D"/>
    <w:rsid w:val="00D74099"/>
    <w:rsid w:val="00DB5840"/>
    <w:rsid w:val="00DC3D33"/>
    <w:rsid w:val="00DC6B8B"/>
    <w:rsid w:val="00DD0987"/>
    <w:rsid w:val="00DD5E51"/>
    <w:rsid w:val="00DE100A"/>
    <w:rsid w:val="00DE5D64"/>
    <w:rsid w:val="00E00389"/>
    <w:rsid w:val="00E20F9A"/>
    <w:rsid w:val="00E47E78"/>
    <w:rsid w:val="00E61BFE"/>
    <w:rsid w:val="00E71E91"/>
    <w:rsid w:val="00E90BD8"/>
    <w:rsid w:val="00E97E20"/>
    <w:rsid w:val="00EA1BC2"/>
    <w:rsid w:val="00EA5E1B"/>
    <w:rsid w:val="00ED1215"/>
    <w:rsid w:val="00ED1380"/>
    <w:rsid w:val="00EE5C66"/>
    <w:rsid w:val="00F213BC"/>
    <w:rsid w:val="00F32ED4"/>
    <w:rsid w:val="00F36EDB"/>
    <w:rsid w:val="00F41AFA"/>
    <w:rsid w:val="00F451E8"/>
    <w:rsid w:val="00F45359"/>
    <w:rsid w:val="00F675D3"/>
    <w:rsid w:val="00F81CE9"/>
    <w:rsid w:val="00F90247"/>
    <w:rsid w:val="00F90998"/>
    <w:rsid w:val="00FA3B3A"/>
    <w:rsid w:val="00FD6ECC"/>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71"/>
  </w:style>
  <w:style w:type="paragraph" w:styleId="Heading1">
    <w:name w:val="heading 1"/>
    <w:basedOn w:val="ListParagraph"/>
    <w:next w:val="PNFrontPageText"/>
    <w:link w:val="Heading1Char"/>
    <w:uiPriority w:val="9"/>
    <w:qFormat/>
    <w:rsid w:val="002A7F71"/>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2A7F71"/>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2A7F71"/>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2A7F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7F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31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31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31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31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A7F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F71"/>
  </w:style>
  <w:style w:type="paragraph" w:styleId="ListParagraph">
    <w:name w:val="List Paragraph"/>
    <w:basedOn w:val="Normal"/>
    <w:uiPriority w:val="1"/>
    <w:qFormat/>
    <w:rsid w:val="002A7F71"/>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2A7F71"/>
    <w:rPr>
      <w:b/>
      <w:bCs/>
      <w:sz w:val="32"/>
      <w:szCs w:val="32"/>
    </w:rPr>
  </w:style>
  <w:style w:type="character" w:customStyle="1" w:styleId="Heading2Char">
    <w:name w:val="Heading 2 Char"/>
    <w:basedOn w:val="DefaultParagraphFont"/>
    <w:link w:val="Heading2"/>
    <w:uiPriority w:val="9"/>
    <w:rsid w:val="002A7F71"/>
    <w:rPr>
      <w:sz w:val="28"/>
      <w:szCs w:val="28"/>
    </w:rPr>
  </w:style>
  <w:style w:type="character" w:customStyle="1" w:styleId="Heading3Char">
    <w:name w:val="Heading 3 Char"/>
    <w:basedOn w:val="DefaultParagraphFont"/>
    <w:link w:val="Heading3"/>
    <w:uiPriority w:val="9"/>
    <w:rsid w:val="002A7F71"/>
    <w:rPr>
      <w:i/>
      <w:iCs/>
      <w:sz w:val="26"/>
      <w:szCs w:val="26"/>
    </w:rPr>
  </w:style>
  <w:style w:type="paragraph" w:styleId="Header">
    <w:name w:val="header"/>
    <w:basedOn w:val="Normal"/>
    <w:link w:val="HeaderChar"/>
    <w:uiPriority w:val="99"/>
    <w:unhideWhenUsed/>
    <w:rsid w:val="002A7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F71"/>
  </w:style>
  <w:style w:type="paragraph" w:styleId="Footer">
    <w:name w:val="footer"/>
    <w:basedOn w:val="Normal"/>
    <w:link w:val="FooterChar"/>
    <w:uiPriority w:val="99"/>
    <w:unhideWhenUsed/>
    <w:rsid w:val="002A7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F71"/>
  </w:style>
  <w:style w:type="character" w:styleId="Hyperlink">
    <w:name w:val="Hyperlink"/>
    <w:basedOn w:val="DefaultParagraphFont"/>
    <w:uiPriority w:val="99"/>
    <w:unhideWhenUsed/>
    <w:rsid w:val="002A7F71"/>
    <w:rPr>
      <w:color w:val="0563C1" w:themeColor="hyperlink"/>
      <w:u w:val="single"/>
    </w:rPr>
  </w:style>
  <w:style w:type="character" w:styleId="UnresolvedMention">
    <w:name w:val="Unresolved Mention"/>
    <w:basedOn w:val="DefaultParagraphFont"/>
    <w:uiPriority w:val="99"/>
    <w:semiHidden/>
    <w:unhideWhenUsed/>
    <w:rsid w:val="002A7F71"/>
    <w:rPr>
      <w:color w:val="605E5C"/>
      <w:shd w:val="clear" w:color="auto" w:fill="E1DFDD"/>
    </w:rPr>
  </w:style>
  <w:style w:type="paragraph" w:customStyle="1" w:styleId="PNTitle">
    <w:name w:val="PN Title"/>
    <w:basedOn w:val="Normal"/>
    <w:link w:val="PNTitleChar"/>
    <w:qFormat/>
    <w:rsid w:val="002A7F71"/>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2A7F71"/>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2A7F71"/>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2A7F71"/>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2A7F71"/>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2A7F71"/>
    <w:rPr>
      <w:rFonts w:asciiTheme="majorHAnsi" w:hAnsiTheme="majorHAnsi" w:cstheme="majorHAnsi"/>
      <w:sz w:val="24"/>
      <w:szCs w:val="24"/>
    </w:rPr>
  </w:style>
  <w:style w:type="paragraph" w:customStyle="1" w:styleId="PNTOC">
    <w:name w:val="PN TOC"/>
    <w:basedOn w:val="Normal"/>
    <w:link w:val="PNTOCChar"/>
    <w:qFormat/>
    <w:rsid w:val="002A7F71"/>
    <w:rPr>
      <w:rFonts w:asciiTheme="majorHAnsi" w:hAnsiTheme="majorHAnsi" w:cstheme="majorHAnsi"/>
      <w:sz w:val="28"/>
      <w:szCs w:val="28"/>
    </w:rPr>
  </w:style>
  <w:style w:type="character" w:customStyle="1" w:styleId="PNTOCChar">
    <w:name w:val="PN TOC Char"/>
    <w:basedOn w:val="DefaultParagraphFont"/>
    <w:link w:val="PNTOC"/>
    <w:rsid w:val="002A7F71"/>
    <w:rPr>
      <w:rFonts w:asciiTheme="majorHAnsi" w:hAnsiTheme="majorHAnsi" w:cstheme="majorHAnsi"/>
      <w:sz w:val="28"/>
      <w:szCs w:val="28"/>
    </w:rPr>
  </w:style>
  <w:style w:type="table" w:styleId="TableGrid">
    <w:name w:val="Table Grid"/>
    <w:basedOn w:val="TableNormal"/>
    <w:rsid w:val="002A7F7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rsid w:val="002A7F71"/>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2A7F71"/>
    <w:pPr>
      <w:spacing w:before="200"/>
      <w:ind w:left="864" w:right="864"/>
      <w:jc w:val="center"/>
    </w:pPr>
    <w:rPr>
      <w:i/>
      <w:iCs/>
      <w:color w:val="404040" w:themeColor="text1" w:themeTint="BF"/>
    </w:rPr>
  </w:style>
  <w:style w:type="character" w:customStyle="1" w:styleId="QuoteChar">
    <w:name w:val="Quote Char"/>
    <w:link w:val="Quote"/>
    <w:uiPriority w:val="29"/>
    <w:rsid w:val="002A7F71"/>
    <w:rPr>
      <w:i/>
      <w:iCs/>
      <w:color w:val="404040" w:themeColor="text1" w:themeTint="BF"/>
    </w:rPr>
  </w:style>
  <w:style w:type="paragraph" w:customStyle="1" w:styleId="code">
    <w:name w:val="code"/>
    <w:basedOn w:val="Normal"/>
    <w:qFormat/>
    <w:rsid w:val="002A7F71"/>
    <w:rPr>
      <w:rFonts w:ascii="Courier 10 Pitch" w:hAnsi="Courier 10 Pitch"/>
      <w:highlight w:val="lightGray"/>
    </w:rPr>
  </w:style>
  <w:style w:type="character" w:styleId="SubtleEmphasis">
    <w:name w:val="Subtle Emphasis"/>
    <w:uiPriority w:val="19"/>
    <w:qFormat/>
    <w:rsid w:val="002A7F71"/>
    <w:rPr>
      <w:i/>
      <w:iCs/>
      <w:color w:val="404040" w:themeColor="text1" w:themeTint="BF"/>
    </w:rPr>
  </w:style>
  <w:style w:type="paragraph" w:customStyle="1" w:styleId="Heading">
    <w:name w:val="Heading"/>
    <w:basedOn w:val="Normal"/>
    <w:next w:val="Normal"/>
    <w:link w:val="HeadingCar"/>
    <w:uiPriority w:val="10"/>
    <w:qFormat/>
    <w:rsid w:val="002A7F71"/>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rsid w:val="002A7F71"/>
    <w:pPr>
      <w:suppressLineNumbers/>
    </w:pPr>
    <w:rPr>
      <w:rFonts w:cs="Lohit Devanagari"/>
    </w:rPr>
  </w:style>
  <w:style w:type="paragraph" w:styleId="BodyText">
    <w:name w:val="Body Text"/>
    <w:basedOn w:val="Normal"/>
    <w:link w:val="BodyTextChar"/>
    <w:rsid w:val="002A7F71"/>
    <w:pPr>
      <w:spacing w:after="140" w:line="288" w:lineRule="auto"/>
    </w:pPr>
  </w:style>
  <w:style w:type="paragraph" w:styleId="List">
    <w:name w:val="List"/>
    <w:basedOn w:val="BodyText"/>
    <w:rsid w:val="002A7F71"/>
    <w:rPr>
      <w:rFonts w:cs="Lohit Devanagari"/>
    </w:rPr>
  </w:style>
  <w:style w:type="character" w:customStyle="1" w:styleId="NumberingSymbols">
    <w:name w:val="Numbering Symbols"/>
    <w:qFormat/>
    <w:rsid w:val="002A7F71"/>
  </w:style>
  <w:style w:type="paragraph" w:styleId="Title">
    <w:name w:val="Title"/>
    <w:basedOn w:val="Heading"/>
    <w:next w:val="BodyText"/>
    <w:qFormat/>
    <w:rsid w:val="002A7F71"/>
    <w:pPr>
      <w:jc w:val="center"/>
    </w:pPr>
    <w:rPr>
      <w:b/>
      <w:bCs/>
    </w:rPr>
  </w:style>
  <w:style w:type="character" w:customStyle="1" w:styleId="Heading4Char">
    <w:name w:val="Heading 4 Char"/>
    <w:link w:val="Heading4"/>
    <w:uiPriority w:val="9"/>
    <w:rsid w:val="002A7F71"/>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rsid w:val="002A7F71"/>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2A7F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85458"/>
    <w:rPr>
      <w:sz w:val="16"/>
      <w:szCs w:val="16"/>
    </w:rPr>
  </w:style>
  <w:style w:type="paragraph" w:styleId="CommentText">
    <w:name w:val="annotation text"/>
    <w:basedOn w:val="Normal"/>
    <w:link w:val="CommentTextChar"/>
    <w:uiPriority w:val="99"/>
    <w:unhideWhenUsed/>
    <w:rsid w:val="00885458"/>
    <w:pPr>
      <w:spacing w:line="240" w:lineRule="auto"/>
    </w:pPr>
    <w:rPr>
      <w:sz w:val="20"/>
      <w:szCs w:val="20"/>
    </w:rPr>
  </w:style>
  <w:style w:type="character" w:customStyle="1" w:styleId="CommentTextChar">
    <w:name w:val="Comment Text Char"/>
    <w:basedOn w:val="DefaultParagraphFont"/>
    <w:link w:val="CommentText"/>
    <w:uiPriority w:val="99"/>
    <w:rsid w:val="00885458"/>
    <w:rPr>
      <w:sz w:val="20"/>
      <w:szCs w:val="20"/>
    </w:rPr>
  </w:style>
  <w:style w:type="paragraph" w:styleId="CommentSubject">
    <w:name w:val="annotation subject"/>
    <w:basedOn w:val="CommentText"/>
    <w:next w:val="CommentText"/>
    <w:link w:val="CommentSubjectChar"/>
    <w:uiPriority w:val="99"/>
    <w:semiHidden/>
    <w:unhideWhenUsed/>
    <w:rsid w:val="00885458"/>
    <w:rPr>
      <w:b/>
      <w:bCs/>
    </w:rPr>
  </w:style>
  <w:style w:type="character" w:customStyle="1" w:styleId="CommentSubjectChar">
    <w:name w:val="Comment Subject Char"/>
    <w:basedOn w:val="CommentTextChar"/>
    <w:link w:val="CommentSubject"/>
    <w:uiPriority w:val="99"/>
    <w:semiHidden/>
    <w:rsid w:val="00885458"/>
    <w:rPr>
      <w:b/>
      <w:bCs/>
      <w:sz w:val="20"/>
      <w:szCs w:val="20"/>
    </w:rPr>
  </w:style>
  <w:style w:type="paragraph" w:styleId="Revision">
    <w:name w:val="Revision"/>
    <w:hidden/>
    <w:uiPriority w:val="99"/>
    <w:semiHidden/>
    <w:rsid w:val="009F7B86"/>
    <w:pPr>
      <w:spacing w:after="0" w:line="240" w:lineRule="auto"/>
    </w:pPr>
  </w:style>
  <w:style w:type="numbering" w:styleId="111111">
    <w:name w:val="Outline List 2"/>
    <w:basedOn w:val="NoList"/>
    <w:uiPriority w:val="99"/>
    <w:semiHidden/>
    <w:unhideWhenUsed/>
    <w:rsid w:val="00970311"/>
    <w:pPr>
      <w:numPr>
        <w:numId w:val="39"/>
      </w:numPr>
    </w:pPr>
  </w:style>
  <w:style w:type="numbering" w:styleId="1ai">
    <w:name w:val="Outline List 1"/>
    <w:basedOn w:val="NoList"/>
    <w:uiPriority w:val="99"/>
    <w:semiHidden/>
    <w:unhideWhenUsed/>
    <w:rsid w:val="00970311"/>
    <w:pPr>
      <w:numPr>
        <w:numId w:val="40"/>
      </w:numPr>
    </w:pPr>
  </w:style>
  <w:style w:type="character" w:customStyle="1" w:styleId="Heading6Char">
    <w:name w:val="Heading 6 Char"/>
    <w:basedOn w:val="DefaultParagraphFont"/>
    <w:link w:val="Heading6"/>
    <w:uiPriority w:val="9"/>
    <w:semiHidden/>
    <w:rsid w:val="009703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03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0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31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970311"/>
    <w:pPr>
      <w:numPr>
        <w:numId w:val="41"/>
      </w:numPr>
    </w:pPr>
  </w:style>
  <w:style w:type="paragraph" w:styleId="BalloonText">
    <w:name w:val="Balloon Text"/>
    <w:basedOn w:val="Normal"/>
    <w:link w:val="BalloonTextChar"/>
    <w:uiPriority w:val="99"/>
    <w:semiHidden/>
    <w:unhideWhenUsed/>
    <w:rsid w:val="0097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11"/>
    <w:rPr>
      <w:rFonts w:ascii="Segoe UI" w:hAnsi="Segoe UI" w:cs="Segoe UI"/>
      <w:sz w:val="18"/>
      <w:szCs w:val="18"/>
    </w:rPr>
  </w:style>
  <w:style w:type="paragraph" w:styleId="Bibliography">
    <w:name w:val="Bibliography"/>
    <w:basedOn w:val="Normal"/>
    <w:next w:val="Normal"/>
    <w:uiPriority w:val="37"/>
    <w:semiHidden/>
    <w:unhideWhenUsed/>
    <w:rsid w:val="00970311"/>
  </w:style>
  <w:style w:type="paragraph" w:styleId="BlockText">
    <w:name w:val="Block Text"/>
    <w:basedOn w:val="Normal"/>
    <w:uiPriority w:val="99"/>
    <w:semiHidden/>
    <w:unhideWhenUsed/>
    <w:rsid w:val="0097031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970311"/>
    <w:pPr>
      <w:spacing w:after="120" w:line="480" w:lineRule="auto"/>
    </w:pPr>
  </w:style>
  <w:style w:type="character" w:customStyle="1" w:styleId="BodyText2Char">
    <w:name w:val="Body Text 2 Char"/>
    <w:basedOn w:val="DefaultParagraphFont"/>
    <w:link w:val="BodyText2"/>
    <w:uiPriority w:val="99"/>
    <w:semiHidden/>
    <w:rsid w:val="00970311"/>
  </w:style>
  <w:style w:type="paragraph" w:styleId="BodyText3">
    <w:name w:val="Body Text 3"/>
    <w:basedOn w:val="Normal"/>
    <w:link w:val="BodyText3Char"/>
    <w:uiPriority w:val="99"/>
    <w:semiHidden/>
    <w:unhideWhenUsed/>
    <w:rsid w:val="00970311"/>
    <w:pPr>
      <w:spacing w:after="120"/>
    </w:pPr>
    <w:rPr>
      <w:sz w:val="16"/>
      <w:szCs w:val="16"/>
    </w:rPr>
  </w:style>
  <w:style w:type="character" w:customStyle="1" w:styleId="BodyText3Char">
    <w:name w:val="Body Text 3 Char"/>
    <w:basedOn w:val="DefaultParagraphFont"/>
    <w:link w:val="BodyText3"/>
    <w:uiPriority w:val="99"/>
    <w:semiHidden/>
    <w:rsid w:val="00970311"/>
    <w:rPr>
      <w:sz w:val="16"/>
      <w:szCs w:val="16"/>
    </w:rPr>
  </w:style>
  <w:style w:type="paragraph" w:styleId="BodyTextFirstIndent">
    <w:name w:val="Body Text First Indent"/>
    <w:basedOn w:val="BodyText"/>
    <w:link w:val="BodyTextFirstIndentChar"/>
    <w:uiPriority w:val="99"/>
    <w:semiHidden/>
    <w:unhideWhenUsed/>
    <w:rsid w:val="00970311"/>
    <w:pPr>
      <w:spacing w:after="160" w:line="259" w:lineRule="auto"/>
      <w:ind w:firstLine="360"/>
    </w:pPr>
  </w:style>
  <w:style w:type="character" w:customStyle="1" w:styleId="BodyTextChar">
    <w:name w:val="Body Text Char"/>
    <w:basedOn w:val="DefaultParagraphFont"/>
    <w:link w:val="BodyText"/>
    <w:rsid w:val="00970311"/>
  </w:style>
  <w:style w:type="character" w:customStyle="1" w:styleId="BodyTextFirstIndentChar">
    <w:name w:val="Body Text First Indent Char"/>
    <w:basedOn w:val="BodyTextChar"/>
    <w:link w:val="BodyTextFirstIndent"/>
    <w:uiPriority w:val="99"/>
    <w:semiHidden/>
    <w:rsid w:val="00970311"/>
  </w:style>
  <w:style w:type="paragraph" w:styleId="BodyTextIndent">
    <w:name w:val="Body Text Indent"/>
    <w:basedOn w:val="Normal"/>
    <w:link w:val="BodyTextIndentChar"/>
    <w:uiPriority w:val="99"/>
    <w:semiHidden/>
    <w:unhideWhenUsed/>
    <w:rsid w:val="00970311"/>
    <w:pPr>
      <w:spacing w:after="120"/>
      <w:ind w:left="360"/>
    </w:pPr>
  </w:style>
  <w:style w:type="character" w:customStyle="1" w:styleId="BodyTextIndentChar">
    <w:name w:val="Body Text Indent Char"/>
    <w:basedOn w:val="DefaultParagraphFont"/>
    <w:link w:val="BodyTextIndent"/>
    <w:uiPriority w:val="99"/>
    <w:semiHidden/>
    <w:rsid w:val="00970311"/>
  </w:style>
  <w:style w:type="paragraph" w:styleId="BodyTextFirstIndent2">
    <w:name w:val="Body Text First Indent 2"/>
    <w:basedOn w:val="BodyTextIndent"/>
    <w:link w:val="BodyTextFirstIndent2Char"/>
    <w:uiPriority w:val="99"/>
    <w:semiHidden/>
    <w:unhideWhenUsed/>
    <w:rsid w:val="00970311"/>
    <w:pPr>
      <w:spacing w:after="160"/>
      <w:ind w:firstLine="360"/>
    </w:pPr>
  </w:style>
  <w:style w:type="character" w:customStyle="1" w:styleId="BodyTextFirstIndent2Char">
    <w:name w:val="Body Text First Indent 2 Char"/>
    <w:basedOn w:val="BodyTextIndentChar"/>
    <w:link w:val="BodyTextFirstIndent2"/>
    <w:uiPriority w:val="99"/>
    <w:semiHidden/>
    <w:rsid w:val="00970311"/>
  </w:style>
  <w:style w:type="paragraph" w:styleId="BodyTextIndent2">
    <w:name w:val="Body Text Indent 2"/>
    <w:basedOn w:val="Normal"/>
    <w:link w:val="BodyTextIndent2Char"/>
    <w:uiPriority w:val="99"/>
    <w:semiHidden/>
    <w:unhideWhenUsed/>
    <w:rsid w:val="00970311"/>
    <w:pPr>
      <w:spacing w:after="120" w:line="480" w:lineRule="auto"/>
      <w:ind w:left="360"/>
    </w:pPr>
  </w:style>
  <w:style w:type="character" w:customStyle="1" w:styleId="BodyTextIndent2Char">
    <w:name w:val="Body Text Indent 2 Char"/>
    <w:basedOn w:val="DefaultParagraphFont"/>
    <w:link w:val="BodyTextIndent2"/>
    <w:uiPriority w:val="99"/>
    <w:semiHidden/>
    <w:rsid w:val="00970311"/>
  </w:style>
  <w:style w:type="paragraph" w:styleId="BodyTextIndent3">
    <w:name w:val="Body Text Indent 3"/>
    <w:basedOn w:val="Normal"/>
    <w:link w:val="BodyTextIndent3Char"/>
    <w:uiPriority w:val="99"/>
    <w:semiHidden/>
    <w:unhideWhenUsed/>
    <w:rsid w:val="0097031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70311"/>
    <w:rPr>
      <w:sz w:val="16"/>
      <w:szCs w:val="16"/>
    </w:rPr>
  </w:style>
  <w:style w:type="character" w:styleId="BookTitle">
    <w:name w:val="Book Title"/>
    <w:basedOn w:val="DefaultParagraphFont"/>
    <w:uiPriority w:val="33"/>
    <w:qFormat/>
    <w:rsid w:val="00970311"/>
    <w:rPr>
      <w:b/>
      <w:bCs/>
      <w:i/>
      <w:iCs/>
      <w:spacing w:val="5"/>
    </w:rPr>
  </w:style>
  <w:style w:type="paragraph" w:styleId="Closing">
    <w:name w:val="Closing"/>
    <w:basedOn w:val="Normal"/>
    <w:link w:val="ClosingChar"/>
    <w:uiPriority w:val="99"/>
    <w:semiHidden/>
    <w:unhideWhenUsed/>
    <w:rsid w:val="00970311"/>
    <w:pPr>
      <w:spacing w:after="0" w:line="240" w:lineRule="auto"/>
      <w:ind w:left="4320"/>
    </w:pPr>
  </w:style>
  <w:style w:type="character" w:customStyle="1" w:styleId="ClosingChar">
    <w:name w:val="Closing Char"/>
    <w:basedOn w:val="DefaultParagraphFont"/>
    <w:link w:val="Closing"/>
    <w:uiPriority w:val="99"/>
    <w:semiHidden/>
    <w:rsid w:val="00970311"/>
  </w:style>
  <w:style w:type="table" w:styleId="ColorfulGrid">
    <w:name w:val="Colorful Grid"/>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70311"/>
  </w:style>
  <w:style w:type="character" w:customStyle="1" w:styleId="DateChar">
    <w:name w:val="Date Char"/>
    <w:basedOn w:val="DefaultParagraphFont"/>
    <w:link w:val="Date"/>
    <w:uiPriority w:val="99"/>
    <w:semiHidden/>
    <w:rsid w:val="00970311"/>
  </w:style>
  <w:style w:type="paragraph" w:styleId="DocumentMap">
    <w:name w:val="Document Map"/>
    <w:basedOn w:val="Normal"/>
    <w:link w:val="DocumentMapChar"/>
    <w:uiPriority w:val="99"/>
    <w:semiHidden/>
    <w:unhideWhenUsed/>
    <w:rsid w:val="0097031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70311"/>
    <w:rPr>
      <w:rFonts w:ascii="Segoe UI" w:hAnsi="Segoe UI" w:cs="Segoe UI"/>
      <w:sz w:val="16"/>
      <w:szCs w:val="16"/>
    </w:rPr>
  </w:style>
  <w:style w:type="paragraph" w:styleId="E-mailSignature">
    <w:name w:val="E-mail Signature"/>
    <w:basedOn w:val="Normal"/>
    <w:link w:val="E-mailSignatureChar"/>
    <w:uiPriority w:val="99"/>
    <w:semiHidden/>
    <w:unhideWhenUsed/>
    <w:rsid w:val="00970311"/>
    <w:pPr>
      <w:spacing w:after="0" w:line="240" w:lineRule="auto"/>
    </w:pPr>
  </w:style>
  <w:style w:type="character" w:customStyle="1" w:styleId="E-mailSignatureChar">
    <w:name w:val="E-mail Signature Char"/>
    <w:basedOn w:val="DefaultParagraphFont"/>
    <w:link w:val="E-mailSignature"/>
    <w:uiPriority w:val="99"/>
    <w:semiHidden/>
    <w:rsid w:val="00970311"/>
  </w:style>
  <w:style w:type="character" w:styleId="Emphasis">
    <w:name w:val="Emphasis"/>
    <w:basedOn w:val="DefaultParagraphFont"/>
    <w:uiPriority w:val="20"/>
    <w:qFormat/>
    <w:rsid w:val="00970311"/>
    <w:rPr>
      <w:i/>
      <w:iCs/>
    </w:rPr>
  </w:style>
  <w:style w:type="character" w:styleId="EndnoteReference">
    <w:name w:val="endnote reference"/>
    <w:basedOn w:val="DefaultParagraphFont"/>
    <w:uiPriority w:val="99"/>
    <w:semiHidden/>
    <w:unhideWhenUsed/>
    <w:rsid w:val="00970311"/>
    <w:rPr>
      <w:vertAlign w:val="superscript"/>
    </w:rPr>
  </w:style>
  <w:style w:type="paragraph" w:styleId="EndnoteText">
    <w:name w:val="endnote text"/>
    <w:basedOn w:val="Normal"/>
    <w:link w:val="EndnoteTextChar"/>
    <w:uiPriority w:val="99"/>
    <w:semiHidden/>
    <w:unhideWhenUsed/>
    <w:rsid w:val="009703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11"/>
    <w:rPr>
      <w:sz w:val="20"/>
      <w:szCs w:val="20"/>
    </w:rPr>
  </w:style>
  <w:style w:type="paragraph" w:styleId="EnvelopeAddress">
    <w:name w:val="envelope address"/>
    <w:basedOn w:val="Normal"/>
    <w:uiPriority w:val="99"/>
    <w:semiHidden/>
    <w:unhideWhenUsed/>
    <w:rsid w:val="0097031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7031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970311"/>
    <w:rPr>
      <w:color w:val="954F72" w:themeColor="followedHyperlink"/>
      <w:u w:val="single"/>
    </w:rPr>
  </w:style>
  <w:style w:type="character" w:styleId="FootnoteReference">
    <w:name w:val="footnote reference"/>
    <w:basedOn w:val="DefaultParagraphFont"/>
    <w:uiPriority w:val="99"/>
    <w:semiHidden/>
    <w:unhideWhenUsed/>
    <w:rsid w:val="00970311"/>
    <w:rPr>
      <w:vertAlign w:val="superscript"/>
    </w:rPr>
  </w:style>
  <w:style w:type="paragraph" w:styleId="FootnoteText">
    <w:name w:val="footnote text"/>
    <w:basedOn w:val="Normal"/>
    <w:link w:val="FootnoteTextChar"/>
    <w:uiPriority w:val="99"/>
    <w:semiHidden/>
    <w:unhideWhenUsed/>
    <w:rsid w:val="00970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311"/>
    <w:rPr>
      <w:sz w:val="20"/>
      <w:szCs w:val="20"/>
    </w:rPr>
  </w:style>
  <w:style w:type="table" w:styleId="GridTable1Light">
    <w:name w:val="Grid Table 1 Light"/>
    <w:basedOn w:val="TableNormal"/>
    <w:uiPriority w:val="46"/>
    <w:rsid w:val="009703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03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031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03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031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31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031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03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031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7031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7031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7031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7031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7031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970311"/>
    <w:rPr>
      <w:color w:val="2B579A"/>
      <w:shd w:val="clear" w:color="auto" w:fill="E1DFDD"/>
    </w:rPr>
  </w:style>
  <w:style w:type="character" w:styleId="HTMLAcronym">
    <w:name w:val="HTML Acronym"/>
    <w:basedOn w:val="DefaultParagraphFont"/>
    <w:uiPriority w:val="99"/>
    <w:semiHidden/>
    <w:unhideWhenUsed/>
    <w:rsid w:val="00970311"/>
  </w:style>
  <w:style w:type="paragraph" w:styleId="HTMLAddress">
    <w:name w:val="HTML Address"/>
    <w:basedOn w:val="Normal"/>
    <w:link w:val="HTMLAddressChar"/>
    <w:uiPriority w:val="99"/>
    <w:semiHidden/>
    <w:unhideWhenUsed/>
    <w:rsid w:val="00970311"/>
    <w:pPr>
      <w:spacing w:after="0" w:line="240" w:lineRule="auto"/>
    </w:pPr>
    <w:rPr>
      <w:i/>
      <w:iCs/>
    </w:rPr>
  </w:style>
  <w:style w:type="character" w:customStyle="1" w:styleId="HTMLAddressChar">
    <w:name w:val="HTML Address Char"/>
    <w:basedOn w:val="DefaultParagraphFont"/>
    <w:link w:val="HTMLAddress"/>
    <w:uiPriority w:val="99"/>
    <w:semiHidden/>
    <w:rsid w:val="00970311"/>
    <w:rPr>
      <w:i/>
      <w:iCs/>
    </w:rPr>
  </w:style>
  <w:style w:type="character" w:styleId="HTMLCite">
    <w:name w:val="HTML Cite"/>
    <w:basedOn w:val="DefaultParagraphFont"/>
    <w:uiPriority w:val="99"/>
    <w:semiHidden/>
    <w:unhideWhenUsed/>
    <w:rsid w:val="00970311"/>
    <w:rPr>
      <w:i/>
      <w:iCs/>
    </w:rPr>
  </w:style>
  <w:style w:type="character" w:styleId="HTMLCode">
    <w:name w:val="HTML Code"/>
    <w:basedOn w:val="DefaultParagraphFont"/>
    <w:uiPriority w:val="99"/>
    <w:semiHidden/>
    <w:unhideWhenUsed/>
    <w:rsid w:val="00970311"/>
    <w:rPr>
      <w:rFonts w:ascii="Consolas" w:hAnsi="Consolas"/>
      <w:sz w:val="20"/>
      <w:szCs w:val="20"/>
    </w:rPr>
  </w:style>
  <w:style w:type="character" w:styleId="HTMLDefinition">
    <w:name w:val="HTML Definition"/>
    <w:basedOn w:val="DefaultParagraphFont"/>
    <w:uiPriority w:val="99"/>
    <w:semiHidden/>
    <w:unhideWhenUsed/>
    <w:rsid w:val="00970311"/>
    <w:rPr>
      <w:i/>
      <w:iCs/>
    </w:rPr>
  </w:style>
  <w:style w:type="character" w:styleId="HTMLKeyboard">
    <w:name w:val="HTML Keyboard"/>
    <w:basedOn w:val="DefaultParagraphFont"/>
    <w:uiPriority w:val="99"/>
    <w:semiHidden/>
    <w:unhideWhenUsed/>
    <w:rsid w:val="00970311"/>
    <w:rPr>
      <w:rFonts w:ascii="Consolas" w:hAnsi="Consolas"/>
      <w:sz w:val="20"/>
      <w:szCs w:val="20"/>
    </w:rPr>
  </w:style>
  <w:style w:type="paragraph" w:styleId="HTMLPreformatted">
    <w:name w:val="HTML Preformatted"/>
    <w:basedOn w:val="Normal"/>
    <w:link w:val="HTMLPreformattedChar"/>
    <w:uiPriority w:val="99"/>
    <w:semiHidden/>
    <w:unhideWhenUsed/>
    <w:rsid w:val="009703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0311"/>
    <w:rPr>
      <w:rFonts w:ascii="Consolas" w:hAnsi="Consolas"/>
      <w:sz w:val="20"/>
      <w:szCs w:val="20"/>
    </w:rPr>
  </w:style>
  <w:style w:type="character" w:styleId="HTMLSample">
    <w:name w:val="HTML Sample"/>
    <w:basedOn w:val="DefaultParagraphFont"/>
    <w:uiPriority w:val="99"/>
    <w:semiHidden/>
    <w:unhideWhenUsed/>
    <w:rsid w:val="00970311"/>
    <w:rPr>
      <w:rFonts w:ascii="Consolas" w:hAnsi="Consolas"/>
      <w:sz w:val="24"/>
      <w:szCs w:val="24"/>
    </w:rPr>
  </w:style>
  <w:style w:type="character" w:styleId="HTMLTypewriter">
    <w:name w:val="HTML Typewriter"/>
    <w:basedOn w:val="DefaultParagraphFont"/>
    <w:uiPriority w:val="99"/>
    <w:semiHidden/>
    <w:unhideWhenUsed/>
    <w:rsid w:val="00970311"/>
    <w:rPr>
      <w:rFonts w:ascii="Consolas" w:hAnsi="Consolas"/>
      <w:sz w:val="20"/>
      <w:szCs w:val="20"/>
    </w:rPr>
  </w:style>
  <w:style w:type="character" w:styleId="HTMLVariable">
    <w:name w:val="HTML Variable"/>
    <w:basedOn w:val="DefaultParagraphFont"/>
    <w:uiPriority w:val="99"/>
    <w:semiHidden/>
    <w:unhideWhenUsed/>
    <w:rsid w:val="00970311"/>
    <w:rPr>
      <w:i/>
      <w:iCs/>
    </w:rPr>
  </w:style>
  <w:style w:type="paragraph" w:styleId="Index1">
    <w:name w:val="index 1"/>
    <w:basedOn w:val="Normal"/>
    <w:next w:val="Normal"/>
    <w:autoRedefine/>
    <w:uiPriority w:val="99"/>
    <w:semiHidden/>
    <w:unhideWhenUsed/>
    <w:rsid w:val="00970311"/>
    <w:pPr>
      <w:spacing w:after="0" w:line="240" w:lineRule="auto"/>
      <w:ind w:left="220" w:hanging="220"/>
    </w:pPr>
  </w:style>
  <w:style w:type="paragraph" w:styleId="Index2">
    <w:name w:val="index 2"/>
    <w:basedOn w:val="Normal"/>
    <w:next w:val="Normal"/>
    <w:autoRedefine/>
    <w:uiPriority w:val="99"/>
    <w:semiHidden/>
    <w:unhideWhenUsed/>
    <w:rsid w:val="00970311"/>
    <w:pPr>
      <w:spacing w:after="0" w:line="240" w:lineRule="auto"/>
      <w:ind w:left="440" w:hanging="220"/>
    </w:pPr>
  </w:style>
  <w:style w:type="paragraph" w:styleId="Index3">
    <w:name w:val="index 3"/>
    <w:basedOn w:val="Normal"/>
    <w:next w:val="Normal"/>
    <w:autoRedefine/>
    <w:uiPriority w:val="99"/>
    <w:semiHidden/>
    <w:unhideWhenUsed/>
    <w:rsid w:val="00970311"/>
    <w:pPr>
      <w:spacing w:after="0" w:line="240" w:lineRule="auto"/>
      <w:ind w:left="660" w:hanging="220"/>
    </w:pPr>
  </w:style>
  <w:style w:type="paragraph" w:styleId="Index4">
    <w:name w:val="index 4"/>
    <w:basedOn w:val="Normal"/>
    <w:next w:val="Normal"/>
    <w:autoRedefine/>
    <w:uiPriority w:val="99"/>
    <w:semiHidden/>
    <w:unhideWhenUsed/>
    <w:rsid w:val="00970311"/>
    <w:pPr>
      <w:spacing w:after="0" w:line="240" w:lineRule="auto"/>
      <w:ind w:left="880" w:hanging="220"/>
    </w:pPr>
  </w:style>
  <w:style w:type="paragraph" w:styleId="Index5">
    <w:name w:val="index 5"/>
    <w:basedOn w:val="Normal"/>
    <w:next w:val="Normal"/>
    <w:autoRedefine/>
    <w:uiPriority w:val="99"/>
    <w:semiHidden/>
    <w:unhideWhenUsed/>
    <w:rsid w:val="00970311"/>
    <w:pPr>
      <w:spacing w:after="0" w:line="240" w:lineRule="auto"/>
      <w:ind w:left="1100" w:hanging="220"/>
    </w:pPr>
  </w:style>
  <w:style w:type="paragraph" w:styleId="Index6">
    <w:name w:val="index 6"/>
    <w:basedOn w:val="Normal"/>
    <w:next w:val="Normal"/>
    <w:autoRedefine/>
    <w:uiPriority w:val="99"/>
    <w:semiHidden/>
    <w:unhideWhenUsed/>
    <w:rsid w:val="00970311"/>
    <w:pPr>
      <w:spacing w:after="0" w:line="240" w:lineRule="auto"/>
      <w:ind w:left="1320" w:hanging="220"/>
    </w:pPr>
  </w:style>
  <w:style w:type="paragraph" w:styleId="Index7">
    <w:name w:val="index 7"/>
    <w:basedOn w:val="Normal"/>
    <w:next w:val="Normal"/>
    <w:autoRedefine/>
    <w:uiPriority w:val="99"/>
    <w:semiHidden/>
    <w:unhideWhenUsed/>
    <w:rsid w:val="00970311"/>
    <w:pPr>
      <w:spacing w:after="0" w:line="240" w:lineRule="auto"/>
      <w:ind w:left="1540" w:hanging="220"/>
    </w:pPr>
  </w:style>
  <w:style w:type="paragraph" w:styleId="Index8">
    <w:name w:val="index 8"/>
    <w:basedOn w:val="Normal"/>
    <w:next w:val="Normal"/>
    <w:autoRedefine/>
    <w:uiPriority w:val="99"/>
    <w:semiHidden/>
    <w:unhideWhenUsed/>
    <w:rsid w:val="00970311"/>
    <w:pPr>
      <w:spacing w:after="0" w:line="240" w:lineRule="auto"/>
      <w:ind w:left="1760" w:hanging="220"/>
    </w:pPr>
  </w:style>
  <w:style w:type="paragraph" w:styleId="Index9">
    <w:name w:val="index 9"/>
    <w:basedOn w:val="Normal"/>
    <w:next w:val="Normal"/>
    <w:autoRedefine/>
    <w:uiPriority w:val="99"/>
    <w:semiHidden/>
    <w:unhideWhenUsed/>
    <w:rsid w:val="00970311"/>
    <w:pPr>
      <w:spacing w:after="0" w:line="240" w:lineRule="auto"/>
      <w:ind w:left="1980" w:hanging="220"/>
    </w:pPr>
  </w:style>
  <w:style w:type="paragraph" w:styleId="IndexHeading">
    <w:name w:val="index heading"/>
    <w:basedOn w:val="Normal"/>
    <w:next w:val="Index1"/>
    <w:uiPriority w:val="99"/>
    <w:semiHidden/>
    <w:unhideWhenUsed/>
    <w:rsid w:val="00970311"/>
    <w:rPr>
      <w:rFonts w:asciiTheme="majorHAnsi" w:eastAsiaTheme="majorEastAsia" w:hAnsiTheme="majorHAnsi" w:cstheme="majorBidi"/>
      <w:b/>
      <w:bCs/>
    </w:rPr>
  </w:style>
  <w:style w:type="character" w:styleId="IntenseEmphasis">
    <w:name w:val="Intense Emphasis"/>
    <w:basedOn w:val="DefaultParagraphFont"/>
    <w:uiPriority w:val="21"/>
    <w:qFormat/>
    <w:rsid w:val="00970311"/>
    <w:rPr>
      <w:i/>
      <w:iCs/>
      <w:color w:val="4472C4" w:themeColor="accent1"/>
    </w:rPr>
  </w:style>
  <w:style w:type="paragraph" w:styleId="IntenseQuote">
    <w:name w:val="Intense Quote"/>
    <w:basedOn w:val="Normal"/>
    <w:next w:val="Normal"/>
    <w:link w:val="IntenseQuoteChar"/>
    <w:uiPriority w:val="30"/>
    <w:qFormat/>
    <w:rsid w:val="009703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0311"/>
    <w:rPr>
      <w:i/>
      <w:iCs/>
      <w:color w:val="4472C4" w:themeColor="accent1"/>
    </w:rPr>
  </w:style>
  <w:style w:type="character" w:styleId="IntenseReference">
    <w:name w:val="Intense Reference"/>
    <w:basedOn w:val="DefaultParagraphFont"/>
    <w:uiPriority w:val="32"/>
    <w:qFormat/>
    <w:rsid w:val="00970311"/>
    <w:rPr>
      <w:b/>
      <w:bCs/>
      <w:smallCaps/>
      <w:color w:val="4472C4" w:themeColor="accent1"/>
      <w:spacing w:val="5"/>
    </w:rPr>
  </w:style>
  <w:style w:type="table" w:styleId="LightGrid">
    <w:name w:val="Light Grid"/>
    <w:basedOn w:val="TableNormal"/>
    <w:uiPriority w:val="62"/>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703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031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70311"/>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7031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70311"/>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70311"/>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70311"/>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70311"/>
  </w:style>
  <w:style w:type="paragraph" w:styleId="List2">
    <w:name w:val="List 2"/>
    <w:basedOn w:val="Normal"/>
    <w:uiPriority w:val="99"/>
    <w:semiHidden/>
    <w:unhideWhenUsed/>
    <w:rsid w:val="00970311"/>
    <w:pPr>
      <w:ind w:left="720" w:hanging="360"/>
      <w:contextualSpacing/>
    </w:pPr>
  </w:style>
  <w:style w:type="paragraph" w:styleId="List3">
    <w:name w:val="List 3"/>
    <w:basedOn w:val="Normal"/>
    <w:uiPriority w:val="99"/>
    <w:semiHidden/>
    <w:unhideWhenUsed/>
    <w:rsid w:val="00970311"/>
    <w:pPr>
      <w:ind w:left="1080" w:hanging="360"/>
      <w:contextualSpacing/>
    </w:pPr>
  </w:style>
  <w:style w:type="paragraph" w:styleId="List4">
    <w:name w:val="List 4"/>
    <w:basedOn w:val="Normal"/>
    <w:uiPriority w:val="99"/>
    <w:semiHidden/>
    <w:unhideWhenUsed/>
    <w:rsid w:val="00970311"/>
    <w:pPr>
      <w:ind w:left="1440" w:hanging="360"/>
      <w:contextualSpacing/>
    </w:pPr>
  </w:style>
  <w:style w:type="paragraph" w:styleId="List5">
    <w:name w:val="List 5"/>
    <w:basedOn w:val="Normal"/>
    <w:uiPriority w:val="99"/>
    <w:semiHidden/>
    <w:unhideWhenUsed/>
    <w:rsid w:val="00970311"/>
    <w:pPr>
      <w:ind w:left="1800" w:hanging="360"/>
      <w:contextualSpacing/>
    </w:pPr>
  </w:style>
  <w:style w:type="paragraph" w:styleId="ListBullet">
    <w:name w:val="List Bullet"/>
    <w:basedOn w:val="Normal"/>
    <w:uiPriority w:val="99"/>
    <w:semiHidden/>
    <w:unhideWhenUsed/>
    <w:rsid w:val="00970311"/>
    <w:pPr>
      <w:numPr>
        <w:numId w:val="42"/>
      </w:numPr>
      <w:contextualSpacing/>
    </w:pPr>
  </w:style>
  <w:style w:type="paragraph" w:styleId="ListBullet2">
    <w:name w:val="List Bullet 2"/>
    <w:basedOn w:val="Normal"/>
    <w:uiPriority w:val="99"/>
    <w:semiHidden/>
    <w:unhideWhenUsed/>
    <w:rsid w:val="00970311"/>
    <w:pPr>
      <w:numPr>
        <w:numId w:val="43"/>
      </w:numPr>
      <w:contextualSpacing/>
    </w:pPr>
  </w:style>
  <w:style w:type="paragraph" w:styleId="ListBullet3">
    <w:name w:val="List Bullet 3"/>
    <w:basedOn w:val="Normal"/>
    <w:uiPriority w:val="99"/>
    <w:semiHidden/>
    <w:unhideWhenUsed/>
    <w:rsid w:val="00970311"/>
    <w:pPr>
      <w:numPr>
        <w:numId w:val="44"/>
      </w:numPr>
      <w:contextualSpacing/>
    </w:pPr>
  </w:style>
  <w:style w:type="paragraph" w:styleId="ListBullet4">
    <w:name w:val="List Bullet 4"/>
    <w:basedOn w:val="Normal"/>
    <w:uiPriority w:val="99"/>
    <w:semiHidden/>
    <w:unhideWhenUsed/>
    <w:rsid w:val="00970311"/>
    <w:pPr>
      <w:numPr>
        <w:numId w:val="45"/>
      </w:numPr>
      <w:contextualSpacing/>
    </w:pPr>
  </w:style>
  <w:style w:type="paragraph" w:styleId="ListBullet5">
    <w:name w:val="List Bullet 5"/>
    <w:basedOn w:val="Normal"/>
    <w:uiPriority w:val="99"/>
    <w:semiHidden/>
    <w:unhideWhenUsed/>
    <w:rsid w:val="00970311"/>
    <w:pPr>
      <w:numPr>
        <w:numId w:val="46"/>
      </w:numPr>
      <w:contextualSpacing/>
    </w:pPr>
  </w:style>
  <w:style w:type="paragraph" w:styleId="ListContinue">
    <w:name w:val="List Continue"/>
    <w:basedOn w:val="Normal"/>
    <w:uiPriority w:val="99"/>
    <w:semiHidden/>
    <w:unhideWhenUsed/>
    <w:rsid w:val="00970311"/>
    <w:pPr>
      <w:spacing w:after="120"/>
      <w:ind w:left="360"/>
      <w:contextualSpacing/>
    </w:pPr>
  </w:style>
  <w:style w:type="paragraph" w:styleId="ListContinue2">
    <w:name w:val="List Continue 2"/>
    <w:basedOn w:val="Normal"/>
    <w:uiPriority w:val="99"/>
    <w:semiHidden/>
    <w:unhideWhenUsed/>
    <w:rsid w:val="00970311"/>
    <w:pPr>
      <w:spacing w:after="120"/>
      <w:ind w:left="720"/>
      <w:contextualSpacing/>
    </w:pPr>
  </w:style>
  <w:style w:type="paragraph" w:styleId="ListContinue3">
    <w:name w:val="List Continue 3"/>
    <w:basedOn w:val="Normal"/>
    <w:uiPriority w:val="99"/>
    <w:semiHidden/>
    <w:unhideWhenUsed/>
    <w:rsid w:val="00970311"/>
    <w:pPr>
      <w:spacing w:after="120"/>
      <w:ind w:left="1080"/>
      <w:contextualSpacing/>
    </w:pPr>
  </w:style>
  <w:style w:type="paragraph" w:styleId="ListContinue4">
    <w:name w:val="List Continue 4"/>
    <w:basedOn w:val="Normal"/>
    <w:uiPriority w:val="99"/>
    <w:semiHidden/>
    <w:unhideWhenUsed/>
    <w:rsid w:val="00970311"/>
    <w:pPr>
      <w:spacing w:after="120"/>
      <w:ind w:left="1440"/>
      <w:contextualSpacing/>
    </w:pPr>
  </w:style>
  <w:style w:type="paragraph" w:styleId="ListContinue5">
    <w:name w:val="List Continue 5"/>
    <w:basedOn w:val="Normal"/>
    <w:uiPriority w:val="99"/>
    <w:semiHidden/>
    <w:unhideWhenUsed/>
    <w:rsid w:val="00970311"/>
    <w:pPr>
      <w:spacing w:after="120"/>
      <w:ind w:left="1800"/>
      <w:contextualSpacing/>
    </w:pPr>
  </w:style>
  <w:style w:type="paragraph" w:styleId="ListNumber">
    <w:name w:val="List Number"/>
    <w:basedOn w:val="Normal"/>
    <w:uiPriority w:val="99"/>
    <w:semiHidden/>
    <w:unhideWhenUsed/>
    <w:rsid w:val="00970311"/>
    <w:pPr>
      <w:numPr>
        <w:numId w:val="47"/>
      </w:numPr>
      <w:contextualSpacing/>
    </w:pPr>
  </w:style>
  <w:style w:type="paragraph" w:styleId="ListNumber2">
    <w:name w:val="List Number 2"/>
    <w:basedOn w:val="Normal"/>
    <w:uiPriority w:val="99"/>
    <w:semiHidden/>
    <w:unhideWhenUsed/>
    <w:rsid w:val="00970311"/>
    <w:pPr>
      <w:numPr>
        <w:numId w:val="48"/>
      </w:numPr>
      <w:contextualSpacing/>
    </w:pPr>
  </w:style>
  <w:style w:type="paragraph" w:styleId="ListNumber3">
    <w:name w:val="List Number 3"/>
    <w:basedOn w:val="Normal"/>
    <w:uiPriority w:val="99"/>
    <w:semiHidden/>
    <w:unhideWhenUsed/>
    <w:rsid w:val="00970311"/>
    <w:pPr>
      <w:numPr>
        <w:numId w:val="49"/>
      </w:numPr>
      <w:contextualSpacing/>
    </w:pPr>
  </w:style>
  <w:style w:type="paragraph" w:styleId="ListNumber4">
    <w:name w:val="List Number 4"/>
    <w:basedOn w:val="Normal"/>
    <w:uiPriority w:val="99"/>
    <w:semiHidden/>
    <w:unhideWhenUsed/>
    <w:rsid w:val="00970311"/>
    <w:pPr>
      <w:numPr>
        <w:numId w:val="50"/>
      </w:numPr>
      <w:contextualSpacing/>
    </w:pPr>
  </w:style>
  <w:style w:type="paragraph" w:styleId="ListNumber5">
    <w:name w:val="List Number 5"/>
    <w:basedOn w:val="Normal"/>
    <w:uiPriority w:val="99"/>
    <w:semiHidden/>
    <w:unhideWhenUsed/>
    <w:rsid w:val="00970311"/>
    <w:pPr>
      <w:numPr>
        <w:numId w:val="51"/>
      </w:numPr>
      <w:contextualSpacing/>
    </w:pPr>
  </w:style>
  <w:style w:type="table" w:styleId="ListTable1Light">
    <w:name w:val="List Table 1 Light"/>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7031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031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7031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7031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70311"/>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7031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7031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703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031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7031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7031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7031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7031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7031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7031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0311"/>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031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031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031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0311"/>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031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703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03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031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031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0311"/>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031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031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7031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70311"/>
    <w:rPr>
      <w:rFonts w:ascii="Consolas" w:hAnsi="Consolas"/>
      <w:sz w:val="20"/>
      <w:szCs w:val="20"/>
    </w:rPr>
  </w:style>
  <w:style w:type="table" w:styleId="MediumGrid1">
    <w:name w:val="Medium Grid 1"/>
    <w:basedOn w:val="TableNormal"/>
    <w:uiPriority w:val="67"/>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70311"/>
    <w:rPr>
      <w:color w:val="2B579A"/>
      <w:shd w:val="clear" w:color="auto" w:fill="E1DFDD"/>
    </w:rPr>
  </w:style>
  <w:style w:type="paragraph" w:styleId="MessageHeader">
    <w:name w:val="Message Header"/>
    <w:basedOn w:val="Normal"/>
    <w:link w:val="MessageHeaderChar"/>
    <w:uiPriority w:val="99"/>
    <w:semiHidden/>
    <w:unhideWhenUsed/>
    <w:rsid w:val="0097031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70311"/>
    <w:rPr>
      <w:rFonts w:asciiTheme="majorHAnsi" w:eastAsiaTheme="majorEastAsia" w:hAnsiTheme="majorHAnsi" w:cstheme="majorBidi"/>
      <w:sz w:val="24"/>
      <w:szCs w:val="24"/>
      <w:shd w:val="pct20" w:color="auto" w:fill="auto"/>
    </w:rPr>
  </w:style>
  <w:style w:type="paragraph" w:styleId="NoSpacing">
    <w:name w:val="No Spacing"/>
    <w:uiPriority w:val="1"/>
    <w:qFormat/>
    <w:rsid w:val="00970311"/>
    <w:pPr>
      <w:spacing w:after="0" w:line="240" w:lineRule="auto"/>
    </w:pPr>
  </w:style>
  <w:style w:type="paragraph" w:styleId="NormalWeb">
    <w:name w:val="Normal (Web)"/>
    <w:basedOn w:val="Normal"/>
    <w:uiPriority w:val="99"/>
    <w:semiHidden/>
    <w:unhideWhenUsed/>
    <w:rsid w:val="00970311"/>
    <w:rPr>
      <w:rFonts w:ascii="Times New Roman" w:hAnsi="Times New Roman" w:cs="Times New Roman"/>
      <w:sz w:val="24"/>
      <w:szCs w:val="24"/>
    </w:rPr>
  </w:style>
  <w:style w:type="paragraph" w:styleId="NormalIndent">
    <w:name w:val="Normal Indent"/>
    <w:basedOn w:val="Normal"/>
    <w:uiPriority w:val="99"/>
    <w:semiHidden/>
    <w:unhideWhenUsed/>
    <w:rsid w:val="00970311"/>
    <w:pPr>
      <w:ind w:left="720"/>
    </w:pPr>
  </w:style>
  <w:style w:type="paragraph" w:styleId="NoteHeading">
    <w:name w:val="Note Heading"/>
    <w:basedOn w:val="Normal"/>
    <w:next w:val="Normal"/>
    <w:link w:val="NoteHeadingChar"/>
    <w:uiPriority w:val="99"/>
    <w:semiHidden/>
    <w:unhideWhenUsed/>
    <w:rsid w:val="00970311"/>
    <w:pPr>
      <w:spacing w:after="0" w:line="240" w:lineRule="auto"/>
    </w:pPr>
  </w:style>
  <w:style w:type="character" w:customStyle="1" w:styleId="NoteHeadingChar">
    <w:name w:val="Note Heading Char"/>
    <w:basedOn w:val="DefaultParagraphFont"/>
    <w:link w:val="NoteHeading"/>
    <w:uiPriority w:val="99"/>
    <w:semiHidden/>
    <w:rsid w:val="00970311"/>
  </w:style>
  <w:style w:type="character" w:styleId="PageNumber">
    <w:name w:val="page number"/>
    <w:basedOn w:val="DefaultParagraphFont"/>
    <w:uiPriority w:val="99"/>
    <w:semiHidden/>
    <w:unhideWhenUsed/>
    <w:rsid w:val="00970311"/>
  </w:style>
  <w:style w:type="character" w:styleId="PlaceholderText">
    <w:name w:val="Placeholder Text"/>
    <w:basedOn w:val="DefaultParagraphFont"/>
    <w:uiPriority w:val="99"/>
    <w:semiHidden/>
    <w:rsid w:val="00970311"/>
    <w:rPr>
      <w:color w:val="666666"/>
    </w:rPr>
  </w:style>
  <w:style w:type="table" w:styleId="PlainTable1">
    <w:name w:val="Plain Table 1"/>
    <w:basedOn w:val="TableNormal"/>
    <w:uiPriority w:val="41"/>
    <w:rsid w:val="009703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3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3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3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3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703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70311"/>
    <w:rPr>
      <w:rFonts w:ascii="Consolas" w:hAnsi="Consolas"/>
      <w:sz w:val="21"/>
      <w:szCs w:val="21"/>
    </w:rPr>
  </w:style>
  <w:style w:type="paragraph" w:styleId="Salutation">
    <w:name w:val="Salutation"/>
    <w:basedOn w:val="Normal"/>
    <w:next w:val="Normal"/>
    <w:link w:val="SalutationChar"/>
    <w:uiPriority w:val="99"/>
    <w:semiHidden/>
    <w:unhideWhenUsed/>
    <w:rsid w:val="00970311"/>
  </w:style>
  <w:style w:type="character" w:customStyle="1" w:styleId="SalutationChar">
    <w:name w:val="Salutation Char"/>
    <w:basedOn w:val="DefaultParagraphFont"/>
    <w:link w:val="Salutation"/>
    <w:uiPriority w:val="99"/>
    <w:semiHidden/>
    <w:rsid w:val="00970311"/>
  </w:style>
  <w:style w:type="paragraph" w:styleId="Signature">
    <w:name w:val="Signature"/>
    <w:basedOn w:val="Normal"/>
    <w:link w:val="SignatureChar"/>
    <w:uiPriority w:val="99"/>
    <w:semiHidden/>
    <w:unhideWhenUsed/>
    <w:rsid w:val="00970311"/>
    <w:pPr>
      <w:spacing w:after="0" w:line="240" w:lineRule="auto"/>
      <w:ind w:left="4320"/>
    </w:pPr>
  </w:style>
  <w:style w:type="character" w:customStyle="1" w:styleId="SignatureChar">
    <w:name w:val="Signature Char"/>
    <w:basedOn w:val="DefaultParagraphFont"/>
    <w:link w:val="Signature"/>
    <w:uiPriority w:val="99"/>
    <w:semiHidden/>
    <w:rsid w:val="00970311"/>
  </w:style>
  <w:style w:type="character" w:styleId="SmartHyperlink">
    <w:name w:val="Smart Hyperlink"/>
    <w:basedOn w:val="DefaultParagraphFont"/>
    <w:uiPriority w:val="99"/>
    <w:semiHidden/>
    <w:unhideWhenUsed/>
    <w:rsid w:val="00970311"/>
    <w:rPr>
      <w:u w:val="dotted"/>
    </w:rPr>
  </w:style>
  <w:style w:type="character" w:styleId="SmartLink">
    <w:name w:val="Smart Link"/>
    <w:basedOn w:val="DefaultParagraphFont"/>
    <w:uiPriority w:val="99"/>
    <w:semiHidden/>
    <w:unhideWhenUsed/>
    <w:rsid w:val="00970311"/>
    <w:rPr>
      <w:color w:val="0000FF"/>
      <w:u w:val="single"/>
      <w:shd w:val="clear" w:color="auto" w:fill="F3F2F1"/>
    </w:rPr>
  </w:style>
  <w:style w:type="character" w:styleId="Strong">
    <w:name w:val="Strong"/>
    <w:basedOn w:val="DefaultParagraphFont"/>
    <w:uiPriority w:val="22"/>
    <w:qFormat/>
    <w:rsid w:val="00970311"/>
    <w:rPr>
      <w:b/>
      <w:bCs/>
    </w:rPr>
  </w:style>
  <w:style w:type="paragraph" w:styleId="Subtitle">
    <w:name w:val="Subtitle"/>
    <w:basedOn w:val="Normal"/>
    <w:next w:val="Normal"/>
    <w:link w:val="SubtitleChar"/>
    <w:uiPriority w:val="11"/>
    <w:qFormat/>
    <w:rsid w:val="009703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0311"/>
    <w:rPr>
      <w:rFonts w:eastAsiaTheme="minorEastAsia"/>
      <w:color w:val="5A5A5A" w:themeColor="text1" w:themeTint="A5"/>
      <w:spacing w:val="15"/>
    </w:rPr>
  </w:style>
  <w:style w:type="character" w:styleId="SubtleReference">
    <w:name w:val="Subtle Reference"/>
    <w:basedOn w:val="DefaultParagraphFont"/>
    <w:uiPriority w:val="31"/>
    <w:qFormat/>
    <w:rsid w:val="00970311"/>
    <w:rPr>
      <w:smallCaps/>
      <w:color w:val="5A5A5A" w:themeColor="text1" w:themeTint="A5"/>
    </w:rPr>
  </w:style>
  <w:style w:type="table" w:styleId="Table3Deffects1">
    <w:name w:val="Table 3D effects 1"/>
    <w:basedOn w:val="TableNormal"/>
    <w:uiPriority w:val="99"/>
    <w:semiHidden/>
    <w:unhideWhenUsed/>
    <w:rsid w:val="0097031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031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031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031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031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031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031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031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031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031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031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031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031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031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031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031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031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031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031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031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03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7031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031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031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031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70311"/>
    <w:pPr>
      <w:spacing w:after="0"/>
      <w:ind w:left="220" w:hanging="220"/>
    </w:pPr>
  </w:style>
  <w:style w:type="paragraph" w:styleId="TableofFigures">
    <w:name w:val="table of figures"/>
    <w:basedOn w:val="Normal"/>
    <w:next w:val="Normal"/>
    <w:uiPriority w:val="99"/>
    <w:semiHidden/>
    <w:unhideWhenUsed/>
    <w:rsid w:val="00970311"/>
    <w:pPr>
      <w:spacing w:after="0"/>
    </w:pPr>
  </w:style>
  <w:style w:type="table" w:styleId="TableProfessional">
    <w:name w:val="Table Professional"/>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031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031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031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031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0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031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031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031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7031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70311"/>
    <w:pPr>
      <w:spacing w:after="100"/>
    </w:pPr>
  </w:style>
  <w:style w:type="paragraph" w:styleId="TOC2">
    <w:name w:val="toc 2"/>
    <w:basedOn w:val="Normal"/>
    <w:next w:val="Normal"/>
    <w:autoRedefine/>
    <w:uiPriority w:val="39"/>
    <w:semiHidden/>
    <w:unhideWhenUsed/>
    <w:rsid w:val="00970311"/>
    <w:pPr>
      <w:spacing w:after="100"/>
      <w:ind w:left="220"/>
    </w:pPr>
  </w:style>
  <w:style w:type="paragraph" w:styleId="TOC3">
    <w:name w:val="toc 3"/>
    <w:basedOn w:val="Normal"/>
    <w:next w:val="Normal"/>
    <w:autoRedefine/>
    <w:uiPriority w:val="39"/>
    <w:semiHidden/>
    <w:unhideWhenUsed/>
    <w:rsid w:val="00970311"/>
    <w:pPr>
      <w:spacing w:after="100"/>
      <w:ind w:left="440"/>
    </w:pPr>
  </w:style>
  <w:style w:type="paragraph" w:styleId="TOC4">
    <w:name w:val="toc 4"/>
    <w:basedOn w:val="Normal"/>
    <w:next w:val="Normal"/>
    <w:autoRedefine/>
    <w:uiPriority w:val="39"/>
    <w:semiHidden/>
    <w:unhideWhenUsed/>
    <w:rsid w:val="00970311"/>
    <w:pPr>
      <w:spacing w:after="100"/>
      <w:ind w:left="660"/>
    </w:pPr>
  </w:style>
  <w:style w:type="paragraph" w:styleId="TOC5">
    <w:name w:val="toc 5"/>
    <w:basedOn w:val="Normal"/>
    <w:next w:val="Normal"/>
    <w:autoRedefine/>
    <w:uiPriority w:val="39"/>
    <w:semiHidden/>
    <w:unhideWhenUsed/>
    <w:rsid w:val="00970311"/>
    <w:pPr>
      <w:spacing w:after="100"/>
      <w:ind w:left="880"/>
    </w:pPr>
  </w:style>
  <w:style w:type="paragraph" w:styleId="TOC6">
    <w:name w:val="toc 6"/>
    <w:basedOn w:val="Normal"/>
    <w:next w:val="Normal"/>
    <w:autoRedefine/>
    <w:uiPriority w:val="39"/>
    <w:semiHidden/>
    <w:unhideWhenUsed/>
    <w:rsid w:val="00970311"/>
    <w:pPr>
      <w:spacing w:after="100"/>
      <w:ind w:left="1100"/>
    </w:pPr>
  </w:style>
  <w:style w:type="paragraph" w:styleId="TOC7">
    <w:name w:val="toc 7"/>
    <w:basedOn w:val="Normal"/>
    <w:next w:val="Normal"/>
    <w:autoRedefine/>
    <w:uiPriority w:val="39"/>
    <w:semiHidden/>
    <w:unhideWhenUsed/>
    <w:rsid w:val="00970311"/>
    <w:pPr>
      <w:spacing w:after="100"/>
      <w:ind w:left="1320"/>
    </w:pPr>
  </w:style>
  <w:style w:type="paragraph" w:styleId="TOC8">
    <w:name w:val="toc 8"/>
    <w:basedOn w:val="Normal"/>
    <w:next w:val="Normal"/>
    <w:autoRedefine/>
    <w:uiPriority w:val="39"/>
    <w:semiHidden/>
    <w:unhideWhenUsed/>
    <w:rsid w:val="00970311"/>
    <w:pPr>
      <w:spacing w:after="100"/>
      <w:ind w:left="1540"/>
    </w:pPr>
  </w:style>
  <w:style w:type="paragraph" w:styleId="TOC9">
    <w:name w:val="toc 9"/>
    <w:basedOn w:val="Normal"/>
    <w:next w:val="Normal"/>
    <w:autoRedefine/>
    <w:uiPriority w:val="39"/>
    <w:semiHidden/>
    <w:unhideWhenUsed/>
    <w:rsid w:val="00970311"/>
    <w:pPr>
      <w:spacing w:after="100"/>
      <w:ind w:left="1760"/>
    </w:pPr>
  </w:style>
  <w:style w:type="paragraph" w:styleId="TOCHeading">
    <w:name w:val="TOC Heading"/>
    <w:basedOn w:val="Heading1"/>
    <w:next w:val="Normal"/>
    <w:uiPriority w:val="39"/>
    <w:semiHidden/>
    <w:unhideWhenUsed/>
    <w:qFormat/>
    <w:rsid w:val="00970311"/>
    <w:pPr>
      <w:keepNext/>
      <w:keepLines/>
      <w:tabs>
        <w:tab w:val="clear" w:pos="360"/>
        <w:tab w:val="clear" w:pos="9000"/>
      </w:tabs>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44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E19A63-C31B-4F1D-8115-953015B3F5C6}">
  <we:reference id="3a8052ba-c9ad-4b0e-a43e-18fda09c46d9"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C5604BC-61E4-464C-97AB-57A8008C4A65}">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308</TotalTime>
  <Pages>1</Pages>
  <Words>7024</Words>
  <Characters>38568</Characters>
  <Application>Microsoft Office Word</Application>
  <DocSecurity>0</DocSecurity>
  <Lines>704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98</cp:revision>
  <dcterms:created xsi:type="dcterms:W3CDTF">2025-08-05T09:35:00Z</dcterms:created>
  <dcterms:modified xsi:type="dcterms:W3CDTF">2025-08-14T19:21:00Z</dcterms:modified>
</cp:coreProperties>
</file>