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320"/>
      </w:pPr>
      <w:r>
        <w:t xml:space="preserve">Refining Lanyard: library or builder?</w:t>
      </w:r>
    </w:p>
    <w:p>
      <w:pPr>
        <w:spacing w:after="160" w:before="120" w:line="300"/>
      </w:pPr>
      <w:r>
        <w:rPr>
          <w:b/>
          <w:bCs/>
        </w:rPr>
        <w:t xml:space="preserve">Max Cady — project refinement, July 2026</w:t>
      </w:r>
    </w:p>
    <w:p>
      <w:pPr>
        <w:pStyle w:val="Heading1"/>
        <w:spacing w:after="140" w:before="320"/>
      </w:pPr>
      <w:r>
        <w:t xml:space="preserve">Question 1: Is my key offering the engine or the library?</w:t>
      </w:r>
    </w:p>
    <w:p>
      <w:pPr>
        <w:spacing w:after="160" w:before="120" w:line="300"/>
      </w:pPr>
      <w:r>
        <w:t xml:space="preserve">My big question was whether I am building an engine for teachers who want to make their own activities, or a library of whole-class experiences.</w:t>
      </w:r>
    </w:p>
    <w:p>
      <w:pPr>
        <w:spacing w:after="160" w:before="120" w:line="300"/>
      </w:pPr>
      <w:r>
        <w:t xml:space="preserve">A ten-product audit tested one thing: can something a student writes in step two become the material of step five? Three come close — Kahoot's Brainstorm, Mentimeter's vote-on-responses, Curipod's pick-one-of-two — but all are collect-then-rate. Nothing downstream consumes the result, and no teacher can build a different chain. In none of them can a student make something, have three classmates respond, and get it back with their responses attached.</w:t>
      </w:r>
    </w:p>
    <w:p>
      <w:pPr>
        <w:spacing w:after="160" w:before="120" w:line="300"/>
      </w:pPr>
      <w:r>
        <w:t xml:space="preserve">This changed my framework. I had thought I was competing with PlayLab, a builder for one-to-one AI experiences, or with Kahoot, Mentimeter and Slides with Friends, which do whole-class activities one idea per slide. I think the real competitor is paper: index cards, a talking circle, a think-pair-share run by pointing at people. That sets the target at less friction than a handout, not more features.</w:t>
      </w:r>
    </w:p>
    <w:p>
      <w:pPr>
        <w:spacing w:after="160" w:before="120" w:line="300"/>
      </w:pPr>
      <w:r>
        <w:t xml:space="preserve">On the builder, I wasn't able to find evidence that teachers want to build their own activities, and my own biases led me to overestimate that interest. The teachers in my orbit are all creators who worked at schools with no textbooks and built everything themselves. They are not most teachers.</w:t>
      </w:r>
    </w:p>
    <w:p>
      <w:pPr>
        <w:spacing w:after="160" w:before="120" w:line="300"/>
      </w:pPr>
      <w:r>
        <w:rPr>
          <w:b/>
          <w:bCs/>
        </w:rPr>
        <w:t xml:space="preserve">My answer:</w:t>
      </w:r>
      <w:r>
        <w:t xml:space="preserve"> the library is the offering. The builder sits at the bottom of it, for people who engage enough to want their own version, which also makes it less anxiety-provoking than a blank canvas on arrival. This still needs testing.</w:t>
      </w:r>
    </w:p>
    <w:p>
      <w:pPr>
        <w:pStyle w:val="Heading1"/>
        <w:spacing w:after="140" w:before="320"/>
      </w:pPr>
      <w:r>
        <w:t xml:space="preserve">Question 2: What is the role of content and subjects?</w:t>
      </w:r>
    </w:p>
    <w:p>
      <w:pPr>
        <w:spacing w:after="160" w:before="120" w:line="300"/>
      </w:pPr>
      <w:r>
        <w:t xml:space="preserve">What I have done well is provide structure. What may matter more is prompts and wording.</w:t>
      </w:r>
    </w:p>
    <w:p>
      <w:pPr>
        <w:spacing w:after="160" w:before="120" w:line="300"/>
      </w:pPr>
      <w:r>
        <w:t xml:space="preserve">Aron et al. (1997) is the research my connection activities rest on. Control pairs got the same pairing, the same 45 minutes and the same structure, with small-talk questions instead, and finished at 3.25 on a seven-point closeness scale against 4.06. The authors concluded that the effect "is not simply a matter of putting two people together in any kind of structured interaction for 45 min." Structure got them in the room; the questions did the rest.</w:t>
      </w:r>
    </w:p>
    <w:p>
      <w:pPr>
        <w:spacing w:after="160" w:before="120" w:line="300"/>
      </w:pPr>
      <w:r>
        <w:t xml:space="preserve">I currently have twenty-eight types of step and one bank of prompts. And if most teachers don't build, nobody but me writes those prompts.</w:t>
      </w:r>
    </w:p>
    <w:p>
      <w:pPr>
        <w:spacing w:after="160" w:before="120" w:line="300"/>
      </w:pPr>
      <w:r>
        <w:t xml:space="preserve">Subject-specific content is not winnable: Curipod alone aligns to more than fifty-five published curricula.</w:t>
      </w:r>
    </w:p>
    <w:p>
      <w:pPr>
        <w:spacing w:after="160" w:before="120" w:line="300"/>
      </w:pPr>
      <w:r>
        <w:rPr>
          <w:b/>
          <w:bCs/>
        </w:rPr>
        <w:t xml:space="preserve">My answer:</w:t>
      </w:r>
      <w:r>
        <w:t xml:space="preserve"> short, subject-agnostic activities for connection and reflection. The teacher brings the subject; the activity brings the structure and the wording. Writing real prompt banks becomes scheduled work, not an afterthought.</w:t>
      </w:r>
    </w:p>
    <w:p>
      <w:pPr>
        <w:pStyle w:val="Heading1"/>
        <w:spacing w:after="140" w:before="320"/>
      </w:pPr>
      <w:r>
        <w:t xml:space="preserve">Question 3: How will I know whether this works?</w:t>
      </w:r>
    </w:p>
    <w:p>
      <w:pPr>
        <w:spacing w:after="160" w:before="120" w:line="300"/>
      </w:pPr>
      <w:r>
        <w:t xml:space="preserve">Every activity is verified by automated simulation, which proves only that nothing crashes. No student has ever used it.</w:t>
      </w:r>
    </w:p>
    <w:p>
      <w:pPr>
        <w:spacing w:after="160" w:before="120" w:line="300"/>
      </w:pPr>
      <w:r>
        <w:rPr>
          <w:b/>
          <w:bCs/>
        </w:rPr>
        <w:t xml:space="preserve">My answer:</w:t>
      </w:r>
      <w:r>
        <w:t xml:space="preserve"> student feedback, which is easy for me to collect. Run connection and competitive activities with real classes and record which ones students ask to play again; run one activity with careful prompts and with bland ones; count activities run rather than built, and watch whether anyone opens the builder.</w:t>
      </w:r>
    </w:p>
    <w:p>
      <w:pPr>
        <w:pStyle w:val="Heading1"/>
        <w:spacing w:after="140" w:before="320"/>
      </w:pPr>
      <w:r>
        <w:t xml:space="preserve">How this refined the concept</w:t>
      </w:r>
    </w:p>
    <w:p>
      <w:pPr>
        <w:spacing w:after="160" w:before="120" w:line="300"/>
      </w:pPr>
      <w:r>
        <w:t xml:space="preserve">From a flexible framework for building classroom games, to a library of activities where a class's own words become the material of the next five minutes, with an optional builder for the few who want it.</w:t>
      </w:r>
    </w:p>
    <w:p>
      <w:pPr>
        <w:spacing w:after="160" w:before="120" w:line="300"/>
      </w:pPr>
      <w:r>
        <w:rPr>
          <w:i/>
          <w:iCs/>
        </w:rPr>
        <w:t xml:space="preserve">Method: AI as researcher and adversary — the competitor audit, and a brief to argue my project is redundant because Curipod already covers it.</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color w:val="111111"/>
      <w:sz w:val="40"/>
      <w:szCs w:val="40"/>
    </w:rPr>
  </w:style>
  <w:style w:type="paragraph" w:styleId="Heading1">
    <w:name w:val="Heading 1"/>
    <w:basedOn w:val="Normal"/>
    <w:next w:val="Normal"/>
    <w:qFormat/>
    <w:rPr>
      <w:rFonts w:ascii="Calibri" w:cs="Calibri" w:eastAsia="Calibri" w:hAnsi="Calibri"/>
      <w:b/>
      <w:bCs/>
      <w:color w:val="0041CC"/>
      <w:sz w:val="30"/>
      <w:szCs w:val="30"/>
    </w:rPr>
  </w:style>
  <w:style w:type="paragraph" w:styleId="Heading2">
    <w:name w:val="Heading 2"/>
    <w:basedOn w:val="Normal"/>
    <w:next w:val="Normal"/>
    <w:qFormat/>
    <w:rPr>
      <w:rFonts w:ascii="Calibri" w:cs="Calibri" w:eastAsia="Calibri" w:hAnsi="Calibri"/>
      <w:b/>
      <w:bCs/>
      <w:color w:val="111111"/>
      <w:sz w:val="25"/>
      <w:szCs w:val="25"/>
    </w:rPr>
  </w:style>
  <w:style w:type="paragraph" w:styleId="Heading3">
    <w:name w:val="Heading 3"/>
    <w:basedOn w:val="Normal"/>
    <w:next w:val="Normal"/>
    <w:qFormat/>
    <w:rPr>
      <w:rFonts w:ascii="Calibri" w:cs="Calibri" w:eastAsia="Calibri" w:hAnsi="Calibri"/>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Refining Lanyard: three questions</dc:title>
  <dc:creator>Max Cady</dc:creator>
  <cp:lastModifiedBy>Un-named</cp:lastModifiedBy>
  <cp:revision>1</cp:revision>
  <dcterms:created xsi:type="dcterms:W3CDTF">2026-07-28T20:28:24.749Z</dcterms:created>
  <dcterms:modified xsi:type="dcterms:W3CDTF">2026-07-28T20:28:24.749Z</dcterms:modified>
</cp:coreProperties>
</file>

<file path=docProps/custom.xml><?xml version="1.0" encoding="utf-8"?>
<Properties xmlns="http://schemas.openxmlformats.org/officeDocument/2006/custom-properties" xmlns:vt="http://schemas.openxmlformats.org/officeDocument/2006/docPropsVTypes"/>
</file>