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color w:val="000000"/>
          <w:sz w:val="28"/>
        </w:rPr>
        <w:t>MASTER ASSET PURCHASE AND REORGANIZATION AGREEMENT</w:t>
      </w:r>
    </w:p>
    <w:p>
      <w:pPr>
        <w:spacing w:after="480"/>
        <w:jc w:val="center"/>
      </w:pPr>
      <w:r>
        <w:rPr>
          <w:rFonts w:ascii="Times New Roman" w:hAnsi="Times New Roman"/>
          <w:b/>
          <w:i w:val="0"/>
          <w:color w:val="000000"/>
          <w:sz w:val="22"/>
        </w:rPr>
        <w:t>DATED AS OF NOVEMBER 10, 2026</w:t>
        <w:br/>
        <w:t>BY AND BETWEEN</w:t>
        <w:br/>
        <w:t>APEX TECHNOLOGIES GROUP LLC</w:t>
        <w:br/>
        <w:t>AND</w:t>
        <w:br/>
        <w:t>VANGUARD ENTERPRISE SOLUTIONS INC.</w:t>
      </w:r>
    </w:p>
    <w:p>
      <w:pPr>
        <w:spacing w:line="276" w:lineRule="auto" w:after="200"/>
      </w:pPr>
      <w:r>
        <w:rPr>
          <w:rFonts w:ascii="Times New Roman" w:hAnsi="Times New Roman"/>
          <w:b w:val="0"/>
          <w:i w:val="0"/>
          <w:color w:val="000000"/>
          <w:sz w:val="22"/>
        </w:rPr>
        <w:t>THIS MASTER ASSET PURCHASE AND REORGANIZATION AGREEMENT (this "Agreement") is made and entered into as of November 10, 2026 (the "Effective Date"), by and between Apex Technologies Group LLC, a Delaware limited liability company ("Buyer"), and Vanguard Enterprise Solutions Inc., a Delaware corporation ("Seller"). Buyer and Seller are each individually referred to herein as a "Party" and collectively as the "Parties."</w:t>
      </w:r>
    </w:p>
    <w:p>
      <w:pPr>
        <w:spacing w:before="240" w:after="80"/>
      </w:pPr>
      <w:r>
        <w:rPr>
          <w:rFonts w:ascii="Times New Roman" w:hAnsi="Times New Roman"/>
          <w:b/>
          <w:i w:val="0"/>
          <w:color w:val="000000"/>
          <w:sz w:val="24"/>
        </w:rPr>
        <w:t>RECITALS</w:t>
      </w:r>
    </w:p>
    <w:p>
      <w:pPr>
        <w:spacing w:line="276" w:lineRule="auto" w:after="120"/>
      </w:pPr>
      <w:r>
        <w:rPr>
          <w:rFonts w:ascii="Times New Roman" w:hAnsi="Times New Roman"/>
          <w:b w:val="0"/>
          <w:i w:val="0"/>
          <w:color w:val="000000"/>
          <w:sz w:val="22"/>
        </w:rPr>
        <w:t>WHEREAS, Seller owns and operates an enterprise cloud security intelligence platform (the "Business"), comprising proprietary algorithms, software repositories, and customer subscriber agreements; and</w:t>
      </w:r>
    </w:p>
    <w:p>
      <w:pPr>
        <w:spacing w:line="276" w:lineRule="auto" w:after="120"/>
      </w:pPr>
      <w:r>
        <w:rPr>
          <w:rFonts w:ascii="Times New Roman" w:hAnsi="Times New Roman"/>
          <w:b w:val="0"/>
          <w:i w:val="0"/>
          <w:color w:val="000000"/>
          <w:sz w:val="22"/>
        </w:rPr>
        <w:t>WHEREAS, Buyer desires to purchase and acquire substantially all of the operating assets and intellectual property of Seller, and Seller desires to sell, transfer, convey, and assign such assets to Buyer, upon the terms and subject to the conditions set forth herein; and</w:t>
      </w:r>
    </w:p>
    <w:p>
      <w:pPr>
        <w:spacing w:line="276" w:lineRule="auto" w:after="240"/>
      </w:pPr>
      <w:r>
        <w:rPr>
          <w:rFonts w:ascii="Times New Roman" w:hAnsi="Times New Roman"/>
          <w:b w:val="0"/>
          <w:i w:val="0"/>
          <w:color w:val="000000"/>
          <w:sz w:val="22"/>
        </w:rPr>
        <w:t>WHEREAS, the Parties intend that the formal Closing of the transactions contemplated hereby shall occur on or before December 15, 2026 (the "Closing Date").</w:t>
      </w:r>
    </w:p>
    <w:p>
      <w:pPr>
        <w:spacing w:after="240"/>
      </w:pPr>
      <w:r>
        <w:rPr>
          <w:rFonts w:ascii="Times New Roman" w:hAnsi="Times New Roman"/>
          <w:b w:val="0"/>
          <w:i w:val="0"/>
          <w:color w:val="000000"/>
          <w:sz w:val="22"/>
        </w:rPr>
        <w:t>NOW, THEREFORE, in consideration of the mutual covenants, representations, warranties, and agreements contained herein, and for other good and valuable consideration, the receipt and sufficiency of which are hereby acknowledged, the Parties agree as follows:</w:t>
      </w:r>
    </w:p>
    <w:p>
      <w:pPr>
        <w:spacing w:before="240" w:after="80"/>
      </w:pPr>
      <w:r>
        <w:rPr>
          <w:rFonts w:ascii="Times New Roman" w:hAnsi="Times New Roman"/>
          <w:b/>
          <w:i w:val="0"/>
          <w:color w:val="000000"/>
          <w:sz w:val="24"/>
        </w:rPr>
        <w:t>ARTICLE I: DEFINITIONS</w:t>
      </w:r>
    </w:p>
    <w:p>
      <w:pPr>
        <w:spacing w:before="80" w:after="120" w:line="276" w:lineRule="auto"/>
      </w:pPr>
      <w:r>
        <w:rPr>
          <w:rFonts w:ascii="Times New Roman" w:hAnsi="Times New Roman"/>
          <w:b/>
          <w:i w:val="0"/>
          <w:color w:val="000000"/>
          <w:sz w:val="22"/>
        </w:rPr>
        <w:t xml:space="preserve">1.1 Defined Terms. </w:t>
      </w:r>
      <w:r>
        <w:rPr>
          <w:rFonts w:ascii="Times New Roman" w:hAnsi="Times New Roman"/>
          <w:b w:val="0"/>
          <w:i w:val="0"/>
          <w:color w:val="000000"/>
          <w:sz w:val="22"/>
        </w:rPr>
        <w:t>As used in this Agreement, capitalized terms shall have the meanings specified in Schedule 1.1, unless otherwise expressly defined herein.</w:t>
      </w:r>
    </w:p>
    <w:p>
      <w:pPr>
        <w:spacing w:before="80" w:after="120" w:line="276" w:lineRule="auto"/>
      </w:pPr>
      <w:r>
        <w:rPr>
          <w:rFonts w:ascii="Times New Roman" w:hAnsi="Times New Roman"/>
          <w:b/>
          <w:i w:val="0"/>
          <w:color w:val="000000"/>
          <w:sz w:val="22"/>
        </w:rPr>
        <w:t xml:space="preserve">1.2 Acquired Assets. </w:t>
      </w:r>
      <w:r>
        <w:rPr>
          <w:rFonts w:ascii="Times New Roman" w:hAnsi="Times New Roman"/>
          <w:b w:val="0"/>
          <w:i w:val="0"/>
          <w:color w:val="000000"/>
          <w:sz w:val="22"/>
        </w:rPr>
        <w:t>"Acquired Assets" means all right, title, and interest in and to all assets, properties, contracts, and software owned by Seller and utilized in the Business.</w:t>
      </w:r>
    </w:p>
    <w:p>
      <w:pPr>
        <w:spacing w:before="240" w:after="80"/>
      </w:pPr>
      <w:r>
        <w:rPr>
          <w:rFonts w:ascii="Times New Roman" w:hAnsi="Times New Roman"/>
          <w:b/>
          <w:i w:val="0"/>
          <w:color w:val="000000"/>
          <w:sz w:val="24"/>
        </w:rPr>
        <w:t>ARTICLE II: PURCHASE AND SALE</w:t>
      </w:r>
    </w:p>
    <w:p>
      <w:pPr>
        <w:spacing w:before="80" w:after="120" w:line="276" w:lineRule="auto"/>
      </w:pPr>
      <w:r>
        <w:rPr>
          <w:rFonts w:ascii="Times New Roman" w:hAnsi="Times New Roman"/>
          <w:b/>
          <w:i w:val="0"/>
          <w:color w:val="000000"/>
          <w:sz w:val="22"/>
        </w:rPr>
        <w:t xml:space="preserve">2.1 Transfer of Assets. </w:t>
      </w:r>
      <w:r>
        <w:rPr>
          <w:rFonts w:ascii="Times New Roman" w:hAnsi="Times New Roman"/>
          <w:b w:val="0"/>
          <w:i w:val="0"/>
          <w:color w:val="000000"/>
          <w:sz w:val="22"/>
        </w:rPr>
        <w:t>Subject to the terms and conditions hereof, at the Closing, Seller shall sell, assign, transfer, convey, and deliver to Buyer, and Buyer shall purchase and accept from Seller, all right, title, and interest in and to the Acquired Assets free and clear of all Liens.</w:t>
      </w:r>
    </w:p>
    <w:p>
      <w:pPr>
        <w:spacing w:before="80" w:after="120" w:line="276" w:lineRule="auto"/>
      </w:pPr>
      <w:r>
        <w:rPr>
          <w:rFonts w:ascii="Times New Roman" w:hAnsi="Times New Roman"/>
          <w:b/>
          <w:i w:val="0"/>
          <w:color w:val="000000"/>
          <w:sz w:val="22"/>
        </w:rPr>
        <w:t xml:space="preserve">2.2 Excluded Liabilities. </w:t>
      </w:r>
      <w:r>
        <w:rPr>
          <w:rFonts w:ascii="Times New Roman" w:hAnsi="Times New Roman"/>
          <w:b w:val="0"/>
          <w:i w:val="0"/>
          <w:color w:val="000000"/>
          <w:sz w:val="22"/>
        </w:rPr>
        <w:t>Buyer shall not assume, nor shall Buyer be deemed to have assumed, any liability, debt, obligation, or commitment of Seller of any kind, character, or description, whether known or unknown, accrued or unaccrued.</w:t>
      </w:r>
    </w:p>
    <w:p>
      <w:pPr>
        <w:spacing w:before="80" w:after="120" w:line="276" w:lineRule="auto"/>
      </w:pPr>
      <w:r>
        <w:rPr>
          <w:rFonts w:ascii="Times New Roman" w:hAnsi="Times New Roman"/>
          <w:b/>
          <w:i w:val="0"/>
          <w:color w:val="000000"/>
          <w:sz w:val="22"/>
        </w:rPr>
        <w:t xml:space="preserve">2.3 Outside Termination Date. </w:t>
      </w:r>
      <w:r>
        <w:rPr>
          <w:rFonts w:ascii="Times New Roman" w:hAnsi="Times New Roman"/>
          <w:b w:val="0"/>
          <w:i w:val="0"/>
          <w:color w:val="000000"/>
          <w:sz w:val="22"/>
        </w:rPr>
        <w:t>Notwithstanding anything herein to the contrary, either Party may terminate this Agreement if the Closing has not occurred on or prior to October 15, 2026 (the "Outside Date"); provided, however, that the right to terminate shall not be available to any Party whose failure to fulfill any obligation under this Agreement resulted in the failure of Closing.</w:t>
      </w:r>
    </w:p>
    <w:p>
      <w:pPr>
        <w:spacing w:before="240" w:after="80"/>
      </w:pPr>
      <w:r>
        <w:rPr>
          <w:rFonts w:ascii="Times New Roman" w:hAnsi="Times New Roman"/>
          <w:b/>
          <w:i w:val="0"/>
          <w:color w:val="000000"/>
          <w:sz w:val="24"/>
        </w:rPr>
        <w:t>ARTICLE III: PURCHASE CONSIDERATION AND ESCROW</w:t>
      </w:r>
    </w:p>
    <w:p>
      <w:pPr>
        <w:spacing w:before="80" w:after="120" w:line="276" w:lineRule="auto"/>
      </w:pPr>
      <w:r>
        <w:rPr>
          <w:rFonts w:ascii="Times New Roman" w:hAnsi="Times New Roman"/>
          <w:b/>
          <w:i w:val="0"/>
          <w:color w:val="000000"/>
          <w:sz w:val="22"/>
        </w:rPr>
        <w:t xml:space="preserve">3.1 Purchase Price Consideration. </w:t>
      </w:r>
      <w:r>
        <w:rPr>
          <w:rFonts w:ascii="Times New Roman" w:hAnsi="Times New Roman"/>
          <w:b w:val="0"/>
          <w:i w:val="0"/>
          <w:color w:val="000000"/>
          <w:sz w:val="22"/>
        </w:rPr>
        <w:t>In full consideration for the sale, transfer, and conveyance of the Acquired Assets, Buyer agrees to pay to Seller an aggregate cash purchase price of Two Million Four Hundred Fifty Thousand Dollars ($2,405,000) (the "Purchase Price"), payable in immediately available funds at the Closing.</w:t>
      </w:r>
    </w:p>
    <w:p>
      <w:pPr>
        <w:spacing w:before="80" w:after="120" w:line="276" w:lineRule="auto"/>
      </w:pPr>
      <w:r>
        <w:rPr>
          <w:rFonts w:ascii="Times New Roman" w:hAnsi="Times New Roman"/>
          <w:b/>
          <w:i w:val="0"/>
          <w:color w:val="000000"/>
          <w:sz w:val="22"/>
        </w:rPr>
        <w:t xml:space="preserve">3.2 Escrow Holdback &amp; Wire Instructions. </w:t>
      </w:r>
      <w:r>
        <w:rPr>
          <w:rFonts w:ascii="Times New Roman" w:hAnsi="Times New Roman"/>
          <w:b w:val="0"/>
          <w:i w:val="0"/>
          <w:color w:val="000000"/>
          <w:sz w:val="22"/>
        </w:rPr>
        <w:t>At Closing, Buyer shall withhold and deposit Three Hundred Thousand Dollars ($300,000) into the designated Escrow Account to satisfy potential indemnity claims under Article IX. Wire instructions: Escrow Agent: JPMorgan Chase Bank N.A.; Account Number: 4421-9981-5502; Routing Number: 021000021; Beneficiary: Vance &amp; Sterling Escrow Trust; Escrow Officer Tax ID (EIN): 13-8891204; Managing Partner Social Security: 000-45-6789; Direct Wire Authorization Phone: +1 (212) 555-0198; Email: jvance.private@vancestrustee.com.</w:t>
      </w:r>
    </w:p>
    <w:p>
      <w:pPr>
        <w:spacing w:before="240" w:after="80"/>
      </w:pPr>
      <w:r>
        <w:rPr>
          <w:rFonts w:ascii="Times New Roman" w:hAnsi="Times New Roman"/>
          <w:b/>
          <w:i w:val="0"/>
          <w:color w:val="000000"/>
          <w:sz w:val="24"/>
        </w:rPr>
        <w:t>ARTICLE IV: DISCLOSURE SCHEDULES AND EXHIBITS</w:t>
      </w:r>
    </w:p>
    <w:p>
      <w:pPr>
        <w:spacing w:before="80" w:after="120" w:line="276" w:lineRule="auto"/>
      </w:pPr>
      <w:r>
        <w:rPr>
          <w:rFonts w:ascii="Times New Roman" w:hAnsi="Times New Roman"/>
          <w:b/>
          <w:i w:val="0"/>
          <w:color w:val="000000"/>
          <w:sz w:val="22"/>
        </w:rPr>
        <w:t xml:space="preserve">4.1 Delivery of Schedules. </w:t>
      </w:r>
      <w:r>
        <w:rPr>
          <w:rFonts w:ascii="Times New Roman" w:hAnsi="Times New Roman"/>
          <w:b w:val="0"/>
          <w:i w:val="0"/>
          <w:color w:val="000000"/>
          <w:sz w:val="22"/>
        </w:rPr>
        <w:t>Seller has delivered to Buyer the disclosure schedules referenced in Section 5.1 and Section 5.2 as of the Effective Date.</w:t>
      </w:r>
    </w:p>
    <w:p>
      <w:pPr>
        <w:spacing w:before="80" w:after="120" w:line="276" w:lineRule="auto"/>
      </w:pPr>
      <w:r>
        <w:rPr>
          <w:rFonts w:ascii="Times New Roman" w:hAnsi="Times New Roman"/>
          <w:b/>
          <w:i w:val="0"/>
          <w:color w:val="000000"/>
          <w:sz w:val="22"/>
        </w:rPr>
        <w:t xml:space="preserve">4.2 Condition Precedent: Exhibit C. </w:t>
      </w:r>
      <w:r>
        <w:rPr>
          <w:rFonts w:ascii="Times New Roman" w:hAnsi="Times New Roman"/>
          <w:b w:val="0"/>
          <w:i w:val="0"/>
          <w:color w:val="000000"/>
          <w:sz w:val="22"/>
        </w:rPr>
        <w:t>Buyer's closing obligations under Article VII are expressly conditioned upon Seller delivering all proprietary source code manifests, patent assignment deeds, and third-party API license disclosures set forth in Exhibit C (Intellectual Property Disclosure Schedules), which Exhibit C is incorporated herein by reference.</w:t>
      </w:r>
    </w:p>
    <w:p>
      <w:pPr>
        <w:spacing w:before="240" w:after="80"/>
      </w:pPr>
      <w:r>
        <w:rPr>
          <w:rFonts w:ascii="Times New Roman" w:hAnsi="Times New Roman"/>
          <w:b/>
          <w:i w:val="0"/>
          <w:color w:val="000000"/>
          <w:sz w:val="24"/>
        </w:rPr>
        <w:t>ARTICLE V: REPRESENTATIONS AND WARRANTIES OF SELLER</w:t>
      </w:r>
    </w:p>
    <w:p>
      <w:pPr>
        <w:spacing w:before="80" w:after="120" w:line="276" w:lineRule="auto"/>
      </w:pPr>
      <w:r>
        <w:rPr>
          <w:rFonts w:ascii="Times New Roman" w:hAnsi="Times New Roman"/>
          <w:b/>
          <w:i w:val="0"/>
          <w:color w:val="000000"/>
          <w:sz w:val="22"/>
        </w:rPr>
        <w:t xml:space="preserve">5.1 Organization. </w:t>
      </w:r>
      <w:r>
        <w:rPr>
          <w:rFonts w:ascii="Times New Roman" w:hAnsi="Times New Roman"/>
          <w:b w:val="0"/>
          <w:i w:val="0"/>
          <w:color w:val="000000"/>
          <w:sz w:val="22"/>
        </w:rPr>
        <w:t>Seller is a corporation duly organized, validly existing, and in good standing under the laws of the State of Delaware, with full corporate power to execute this Agreement.</w:t>
      </w:r>
    </w:p>
    <w:p>
      <w:pPr>
        <w:spacing w:before="80" w:after="120" w:line="276" w:lineRule="auto"/>
      </w:pPr>
      <w:r>
        <w:rPr>
          <w:rFonts w:ascii="Times New Roman" w:hAnsi="Times New Roman"/>
          <w:b/>
          <w:i w:val="0"/>
          <w:color w:val="000000"/>
          <w:sz w:val="22"/>
        </w:rPr>
        <w:t xml:space="preserve">5.2 Intellectual Property Rights. </w:t>
      </w:r>
      <w:r>
        <w:rPr>
          <w:rFonts w:ascii="Times New Roman" w:hAnsi="Times New Roman"/>
          <w:b w:val="0"/>
          <w:i w:val="0"/>
          <w:color w:val="000000"/>
          <w:sz w:val="22"/>
        </w:rPr>
        <w:t>Seller owns or possesses valid and enforceable licenses to all software algorithms, patents, trade secrets, and domain names necessary to conduct the Business.</w:t>
      </w:r>
    </w:p>
    <w:p>
      <w:pPr>
        <w:spacing w:before="240" w:after="80"/>
      </w:pPr>
      <w:r>
        <w:rPr>
          <w:rFonts w:ascii="Times New Roman" w:hAnsi="Times New Roman"/>
          <w:b/>
          <w:i w:val="0"/>
          <w:color w:val="000000"/>
          <w:sz w:val="24"/>
        </w:rPr>
        <w:t>ARTICLE VI: PRE-CLOSING COVENANTS</w:t>
      </w:r>
    </w:p>
    <w:p>
      <w:pPr>
        <w:spacing w:before="80" w:after="120" w:line="276" w:lineRule="auto"/>
      </w:pPr>
      <w:r>
        <w:rPr>
          <w:rFonts w:ascii="Times New Roman" w:hAnsi="Times New Roman"/>
          <w:b/>
          <w:i w:val="0"/>
          <w:color w:val="000000"/>
          <w:sz w:val="22"/>
        </w:rPr>
        <w:t xml:space="preserve">6.1 Operation in Ordinary Course. </w:t>
      </w:r>
      <w:r>
        <w:rPr>
          <w:rFonts w:ascii="Times New Roman" w:hAnsi="Times New Roman"/>
          <w:b w:val="0"/>
          <w:i w:val="0"/>
          <w:color w:val="000000"/>
          <w:sz w:val="22"/>
        </w:rPr>
        <w:t>From the Effective Date until the Closing Date, Seller shall conduct the Business in the ordinary course of business consistent with past practice. Seller specifically covenants that Key Personnel shall remain deployed to safeguard all Senior Material Assets from diminution, waste, or unauthorized code branch bifurcation.</w:t>
      </w:r>
    </w:p>
    <w:p>
      <w:pPr>
        <w:spacing w:before="240" w:after="80"/>
      </w:pPr>
      <w:r>
        <w:rPr>
          <w:rFonts w:ascii="Times New Roman" w:hAnsi="Times New Roman"/>
          <w:b/>
          <w:i w:val="0"/>
          <w:color w:val="000000"/>
          <w:sz w:val="24"/>
        </w:rPr>
        <w:t>ARTICLE VII: CONDITIONS PRECEDENT TO CLOSING</w:t>
      </w:r>
    </w:p>
    <w:p>
      <w:pPr>
        <w:spacing w:before="80" w:after="120" w:line="276" w:lineRule="auto"/>
      </w:pPr>
      <w:r>
        <w:rPr>
          <w:rFonts w:ascii="Times New Roman" w:hAnsi="Times New Roman"/>
          <w:b/>
          <w:i w:val="0"/>
          <w:color w:val="000000"/>
          <w:sz w:val="22"/>
        </w:rPr>
        <w:t xml:space="preserve">7.1 Buyer Conditions. </w:t>
      </w:r>
      <w:r>
        <w:rPr>
          <w:rFonts w:ascii="Times New Roman" w:hAnsi="Times New Roman"/>
          <w:b w:val="0"/>
          <w:i w:val="0"/>
          <w:color w:val="000000"/>
          <w:sz w:val="22"/>
        </w:rPr>
        <w:t>The obligations of Buyer to consummate the transactions contemplated hereby are subject to the satisfaction or waiver of each condition precedent set forth in Section 7.2.</w:t>
      </w:r>
    </w:p>
    <w:p>
      <w:pPr>
        <w:spacing w:before="80" w:after="120" w:line="276" w:lineRule="auto"/>
      </w:pPr>
      <w:r>
        <w:rPr>
          <w:rFonts w:ascii="Times New Roman" w:hAnsi="Times New Roman"/>
          <w:b/>
          <w:i w:val="0"/>
          <w:color w:val="000000"/>
          <w:sz w:val="22"/>
        </w:rPr>
        <w:t xml:space="preserve">7.2 Regulatory Approvals. </w:t>
      </w:r>
      <w:r>
        <w:rPr>
          <w:rFonts w:ascii="Times New Roman" w:hAnsi="Times New Roman"/>
          <w:b w:val="0"/>
          <w:i w:val="0"/>
          <w:color w:val="000000"/>
          <w:sz w:val="22"/>
        </w:rPr>
        <w:t>All required notifications under applicable antitrust laws and CFIUS regulations shall have been completed and any waiting period shall have expired.</w:t>
      </w:r>
    </w:p>
    <w:p>
      <w:pPr>
        <w:spacing w:before="240" w:after="80"/>
      </w:pPr>
      <w:r>
        <w:rPr>
          <w:rFonts w:ascii="Times New Roman" w:hAnsi="Times New Roman"/>
          <w:b/>
          <w:i w:val="0"/>
          <w:color w:val="000000"/>
          <w:sz w:val="24"/>
        </w:rPr>
        <w:t>ARTICLE VIII: TERMINATION AND CURE MECHANICS</w:t>
      </w:r>
    </w:p>
    <w:p>
      <w:pPr>
        <w:spacing w:before="80" w:after="120" w:line="276" w:lineRule="auto"/>
      </w:pPr>
      <w:r>
        <w:rPr>
          <w:rFonts w:ascii="Times New Roman" w:hAnsi="Times New Roman"/>
          <w:b/>
          <w:i w:val="0"/>
          <w:color w:val="000000"/>
          <w:sz w:val="22"/>
        </w:rPr>
        <w:t xml:space="preserve">8.1 Termination Rights. </w:t>
      </w:r>
      <w:r>
        <w:rPr>
          <w:rFonts w:ascii="Times New Roman" w:hAnsi="Times New Roman"/>
          <w:b w:val="0"/>
          <w:i w:val="0"/>
          <w:color w:val="000000"/>
          <w:sz w:val="22"/>
        </w:rPr>
        <w:t>This Agreement may be terminated at any time prior to Closing by mutual written consent of Buyer and Seller, or pursuant to Section 2.3.</w:t>
      </w:r>
    </w:p>
    <w:p>
      <w:pPr>
        <w:spacing w:before="80" w:after="120" w:line="276" w:lineRule="auto"/>
      </w:pPr>
      <w:r>
        <w:rPr>
          <w:rFonts w:ascii="Times New Roman" w:hAnsi="Times New Roman"/>
          <w:b/>
          <w:i w:val="0"/>
          <w:color w:val="000000"/>
          <w:sz w:val="22"/>
        </w:rPr>
        <w:t xml:space="preserve">8.2 Notice of Breach and Cure. </w:t>
      </w:r>
      <w:r>
        <w:rPr>
          <w:rFonts w:ascii="Times New Roman" w:hAnsi="Times New Roman"/>
          <w:b w:val="0"/>
          <w:i w:val="0"/>
          <w:color w:val="000000"/>
          <w:sz w:val="22"/>
        </w:rPr>
        <w:t>In the event of an alleged material breach of any covenant or representation by either Party, the non-breaching Party shall provide written notice specifying such breach. The breaching Party shall have ten (10) business days following receipt of notice to effectuate a cure, subject to the mandatory statutory mediation and cure procedures set forth in Section 17.4 of this Agreement.</w:t>
      </w:r>
    </w:p>
    <w:p>
      <w:pPr>
        <w:spacing w:before="240" w:after="80"/>
      </w:pPr>
      <w:r>
        <w:rPr>
          <w:rFonts w:ascii="Times New Roman" w:hAnsi="Times New Roman"/>
          <w:b/>
          <w:i w:val="0"/>
          <w:color w:val="000000"/>
          <w:sz w:val="24"/>
        </w:rPr>
        <w:t>ARTICLE IX: INDEMNIFICATION AND SURVIVAL</w:t>
      </w:r>
    </w:p>
    <w:p>
      <w:pPr>
        <w:spacing w:before="80" w:after="120" w:line="276" w:lineRule="auto"/>
      </w:pPr>
      <w:r>
        <w:rPr>
          <w:rFonts w:ascii="Times New Roman" w:hAnsi="Times New Roman"/>
          <w:b/>
          <w:i w:val="0"/>
          <w:color w:val="000000"/>
          <w:sz w:val="22"/>
        </w:rPr>
        <w:t xml:space="preserve">9.1 Survival of Representations. </w:t>
      </w:r>
      <w:r>
        <w:rPr>
          <w:rFonts w:ascii="Times New Roman" w:hAnsi="Times New Roman"/>
          <w:b w:val="0"/>
          <w:i w:val="0"/>
          <w:color w:val="000000"/>
          <w:sz w:val="22"/>
        </w:rPr>
        <w:t>All representations, warranties, and covenants of Seller shall survive the Closing for a period of twenty-four (24) months.</w:t>
      </w:r>
    </w:p>
    <w:p>
      <w:pPr>
        <w:spacing w:before="80" w:after="120" w:line="276" w:lineRule="auto"/>
      </w:pPr>
      <w:r>
        <w:rPr>
          <w:rFonts w:ascii="Times New Roman" w:hAnsi="Times New Roman"/>
          <w:b/>
          <w:i w:val="0"/>
          <w:color w:val="000000"/>
          <w:sz w:val="22"/>
        </w:rPr>
        <w:t xml:space="preserve">9.2 Indemnification Procedures. </w:t>
      </w:r>
      <w:r>
        <w:rPr>
          <w:rFonts w:ascii="Times New Roman" w:hAnsi="Times New Roman"/>
          <w:b w:val="0"/>
          <w:i w:val="0"/>
          <w:color w:val="000000"/>
          <w:sz w:val="22"/>
        </w:rPr>
        <w:t>Any claim by Buyer for indemnification under this Article IX shall be initiated strictly in compliance with the dispute escalation and claims protocol detailed in Section 15.2 hereof, failure of which shall operate as a complete procedural waiver.</w:t>
      </w:r>
    </w:p>
    <w:p>
      <w:pPr>
        <w:spacing w:before="240" w:after="80"/>
      </w:pPr>
      <w:r>
        <w:rPr>
          <w:rFonts w:ascii="Times New Roman" w:hAnsi="Times New Roman"/>
          <w:b/>
          <w:i w:val="0"/>
          <w:color w:val="000000"/>
          <w:sz w:val="24"/>
        </w:rPr>
        <w:t>ARTICLE X: GOVERNING LAW AND SUCCESSORS</w:t>
      </w:r>
    </w:p>
    <w:p>
      <w:pPr>
        <w:spacing w:before="80" w:after="120" w:line="276" w:lineRule="auto"/>
      </w:pPr>
      <w:r>
        <w:rPr>
          <w:rFonts w:ascii="Times New Roman" w:hAnsi="Times New Roman"/>
          <w:b/>
          <w:i w:val="0"/>
          <w:color w:val="000000"/>
          <w:sz w:val="22"/>
        </w:rPr>
        <w:t xml:space="preserve">10.1 Governing Law. </w:t>
      </w:r>
      <w:r>
        <w:rPr>
          <w:rFonts w:ascii="Times New Roman" w:hAnsi="Times New Roman"/>
          <w:b w:val="0"/>
          <w:i w:val="0"/>
          <w:color w:val="000000"/>
          <w:sz w:val="22"/>
        </w:rPr>
        <w:t>This Agreement, and all claims or causes of action arising out of or relating to this Agreement, shall be governed by and construed in accordance with the internal laws of the State of Delaware without giving effect to conflicts-of-law principles.</w:t>
      </w:r>
    </w:p>
    <w:p>
      <w:pPr>
        <w:spacing w:before="80" w:after="120" w:line="276" w:lineRule="auto"/>
      </w:pPr>
      <w:r>
        <w:rPr>
          <w:rFonts w:ascii="Times New Roman" w:hAnsi="Times New Roman"/>
          <w:b/>
          <w:i w:val="0"/>
          <w:color w:val="000000"/>
          <w:sz w:val="22"/>
        </w:rPr>
        <w:t xml:space="preserve">10.2 Jurisdiction. </w:t>
      </w:r>
      <w:r>
        <w:rPr>
          <w:rFonts w:ascii="Times New Roman" w:hAnsi="Times New Roman"/>
          <w:b w:val="0"/>
          <w:i w:val="0"/>
          <w:color w:val="000000"/>
          <w:sz w:val="22"/>
        </w:rPr>
        <w:t>Each Party irrevocably submits to the exclusive jurisdiction of the Delaware Court of Chancery.</w:t>
      </w:r>
    </w:p>
    <w:p>
      <w:pPr>
        <w:spacing w:before="80" w:after="120" w:line="276" w:lineRule="auto"/>
      </w:pPr>
      <w:r>
        <w:rPr>
          <w:rFonts w:ascii="Times New Roman" w:hAnsi="Times New Roman"/>
          <w:b/>
          <w:i w:val="0"/>
          <w:color w:val="000000"/>
          <w:sz w:val="22"/>
        </w:rPr>
        <w:t xml:space="preserve">10.3 Binding Effect. </w:t>
      </w:r>
      <w:r>
        <w:rPr>
          <w:rFonts w:ascii="Times New Roman" w:hAnsi="Times New Roman"/>
          <w:b w:val="0"/>
          <w:i w:val="0"/>
          <w:color w:val="000000"/>
          <w:sz w:val="22"/>
        </w:rPr>
        <w:t>This Agreement shall be binding upon and inure to the benefit of the Parties and their respective successors and permitted assigns; provided, that all affirmative covenants herein shall be the joint and several liability of Apex Technologies Group Inc., a California corporation ("Buyer").</w:t>
      </w:r>
    </w:p>
    <w:p>
      <w:pPr>
        <w:spacing w:before="240" w:after="80"/>
      </w:pPr>
      <w:r>
        <w:rPr>
          <w:rFonts w:ascii="Times New Roman" w:hAnsi="Times New Roman"/>
          <w:b/>
          <w:i w:val="0"/>
          <w:color w:val="000000"/>
          <w:sz w:val="24"/>
        </w:rPr>
        <w:t>ARTICLE XI: GENERAL PROVISIONS</w:t>
      </w:r>
    </w:p>
    <w:p>
      <w:pPr>
        <w:spacing w:before="80" w:after="120" w:line="276" w:lineRule="auto"/>
      </w:pPr>
      <w:r>
        <w:rPr>
          <w:rFonts w:ascii="Times New Roman" w:hAnsi="Times New Roman"/>
          <w:b/>
          <w:i w:val="0"/>
          <w:color w:val="000000"/>
          <w:sz w:val="22"/>
        </w:rPr>
        <w:t xml:space="preserve">11.1 Entire Agreement. </w:t>
      </w:r>
      <w:r>
        <w:rPr>
          <w:rFonts w:ascii="Times New Roman" w:hAnsi="Times New Roman"/>
          <w:b w:val="0"/>
          <w:i w:val="0"/>
          <w:color w:val="000000"/>
          <w:sz w:val="22"/>
        </w:rPr>
        <w:t>This Agreement, including the Exhibits and Schedules hereto, constitutes the entire agreement between the Parties with respect to the subject matter hereof and supersedes all prior agreements, understandings, negotiations, and discussions, both written and oral.</w:t>
      </w:r>
    </w:p>
    <w:p>
      <w:pPr>
        <w:spacing w:before="80" w:after="120" w:line="276" w:lineRule="auto"/>
      </w:pPr>
      <w:r>
        <w:rPr>
          <w:rFonts w:ascii="Times New Roman" w:hAnsi="Times New Roman"/>
          <w:b/>
          <w:i w:val="0"/>
          <w:color w:val="000000"/>
          <w:sz w:val="22"/>
        </w:rPr>
        <w:t xml:space="preserve">11.2 Severability. </w:t>
      </w:r>
      <w:r>
        <w:rPr>
          <w:rFonts w:ascii="Times New Roman" w:hAnsi="Times New Roman"/>
          <w:b w:val="0"/>
          <w:i w:val="0"/>
          <w:color w:val="000000"/>
          <w:sz w:val="22"/>
        </w:rPr>
        <w:t>If any provision of this Agreement is held to be invalid, illegal, or unenforceable in any jurisdiction, such invalidity shall not affect any other provision of this Agreement.</w:t>
      </w:r>
    </w:p>
    <w:p>
      <w:pPr>
        <w:spacing w:before="240" w:after="80"/>
      </w:pPr>
      <w:r>
        <w:rPr>
          <w:rFonts w:ascii="Times New Roman" w:hAnsi="Times New Roman"/>
          <w:b/>
          <w:i w:val="0"/>
          <w:color w:val="000000"/>
          <w:sz w:val="24"/>
        </w:rPr>
        <w:t>ARTICLE XII: EXECUTION IN COUNTERPARTS</w:t>
      </w:r>
    </w:p>
    <w:p>
      <w:pPr>
        <w:spacing w:before="80" w:after="120" w:line="276" w:lineRule="auto"/>
      </w:pPr>
      <w:r>
        <w:rPr>
          <w:rFonts w:ascii="Times New Roman" w:hAnsi="Times New Roman"/>
          <w:b/>
          <w:i w:val="0"/>
          <w:color w:val="000000"/>
          <w:sz w:val="22"/>
        </w:rPr>
        <w:t xml:space="preserve">12.1 Counterparts. </w:t>
      </w:r>
      <w:r>
        <w:rPr>
          <w:rFonts w:ascii="Times New Roman" w:hAnsi="Times New Roman"/>
          <w:b w:val="0"/>
          <w:i w:val="0"/>
          <w:color w:val="000000"/>
          <w:sz w:val="22"/>
        </w:rPr>
        <w:t>This Agreement may be executed in two or more counterparts, each of which shall be deemed an original, but all of which together shall constitute one and the same instrument. Delivery of an executed counterpart signature page by electronic transmission (including .pdf) shall be effective as delivery of a manually executed counterpart.</w:t>
      </w:r>
    </w:p>
    <w:p>
      <w:pPr>
        <w:spacing w:before="360" w:after="480"/>
      </w:pPr>
      <w:r>
        <w:rPr>
          <w:rFonts w:ascii="Times New Roman" w:hAnsi="Times New Roman"/>
          <w:b w:val="0"/>
          <w:i w:val="0"/>
          <w:color w:val="000000"/>
          <w:sz w:val="22"/>
        </w:rPr>
        <w:t>IN WITNESS WHEREOF, the Parties hereto have caused this Master Asset Purchase and Reorganization Agreement to be duly executed by their respective authorized signatories as of the date first above written.</w:t>
      </w:r>
    </w:p>
    <w:tbl>
      <w:tblPr>
        <w:tblW w:type="auto" w:w="0"/>
        <w:tblLayout w:type="autofit"/>
        <w:tblLook w:firstColumn="1" w:firstRow="1" w:lastColumn="0" w:lastRow="0" w:noHBand="0" w:noVBand="1" w:val="04A0"/>
      </w:tblPr>
      <w:tblGrid>
        <w:gridCol w:w="4680"/>
        <w:gridCol w:w="4680"/>
      </w:tblGrid>
      <w:tr>
        <w:tc>
          <w:tcPr>
            <w:tcW w:type="dxa" w:w="4680"/>
          </w:tcPr>
          <w:p>
            <w:r>
              <w:t>BUYER:</w:t>
              <w:br/>
              <w:t>APEX TECHNOLOGIES GROUP LLC</w:t>
            </w:r>
          </w:p>
        </w:tc>
        <w:tc>
          <w:tcPr>
            <w:tcW w:type="dxa" w:w="4680"/>
          </w:tcPr>
          <w:p>
            <w:r>
              <w:t>SELLER:</w:t>
              <w:br/>
              <w:t>VANGUARD ENTERPRISE SOLUTIONS INC.</w:t>
            </w:r>
          </w:p>
        </w:tc>
      </w:tr>
      <w:tr>
        <w:tc>
          <w:tcPr>
            <w:tcW w:type="dxa" w:w="4680"/>
          </w:tcPr>
          <w:p>
            <w:r>
              <w:br/>
              <w:br/>
              <w:t>By: ____________________________________</w:t>
            </w:r>
          </w:p>
        </w:tc>
        <w:tc>
          <w:tcPr>
            <w:tcW w:type="dxa" w:w="4680"/>
          </w:tcPr>
          <w:p>
            <w:r>
              <w:br/>
              <w:br/>
              <w:t>By: ____________________________________</w:t>
            </w:r>
          </w:p>
        </w:tc>
      </w:tr>
      <w:tr>
        <w:tc>
          <w:tcPr>
            <w:tcW w:type="dxa" w:w="4680"/>
          </w:tcPr>
          <w:p>
            <w:r>
              <w:t>Name: Marcus Vance, Esq.</w:t>
            </w:r>
          </w:p>
        </w:tc>
        <w:tc>
          <w:tcPr>
            <w:tcW w:type="dxa" w:w="4680"/>
          </w:tcPr>
          <w:p>
            <w:r>
              <w:t>Name: Sarah Jenkins, Ph.D.</w:t>
            </w:r>
          </w:p>
        </w:tc>
      </w:tr>
      <w:tr>
        <w:tc>
          <w:tcPr>
            <w:tcW w:type="dxa" w:w="4680"/>
          </w:tcPr>
          <w:p>
            <w:r>
              <w:t>Title: Chief Executive Officer &amp; Managing Director</w:t>
            </w:r>
          </w:p>
        </w:tc>
        <w:tc>
          <w:tcPr>
            <w:tcW w:type="dxa" w:w="4680"/>
          </w:tcPr>
          <w:p>
            <w:r>
              <w:t>Title: President &amp; Chief Technology Officer</w:t>
            </w:r>
          </w:p>
        </w:tc>
      </w:tr>
    </w:tbl>
    <w:p>
      <w:r>
        <w:br w:type="page"/>
      </w:r>
    </w:p>
    <w:p>
      <w:pPr>
        <w:jc w:val="center"/>
      </w:pPr>
      <w:r>
        <w:rPr>
          <w:rFonts w:ascii="Times New Roman" w:hAnsi="Times New Roman"/>
          <w:b/>
          <w:i w:val="0"/>
          <w:color w:val="000000"/>
          <w:sz w:val="26"/>
        </w:rPr>
        <w:t>SCHEDULE OF EXHIBITS</w:t>
      </w:r>
    </w:p>
    <w:p>
      <w:pPr>
        <w:spacing w:before="240"/>
      </w:pPr>
      <w:r>
        <w:t>Exhibit A — General Bill of Sale and Conveyance Instrument (Attached)</w:t>
      </w:r>
    </w:p>
    <w:p>
      <w:r>
        <w:t>Exhibit B — Master Assignment and Assumption of Assumed Contracts (Attached)</w:t>
      </w:r>
    </w:p>
    <w:p>
      <w:r>
        <w:t>Schedule 1.1 — Standard Operating Definitions (Attached)</w:t>
      </w:r>
    </w:p>
    <w:p>
      <w:r>
        <w:t>[Note: Exhibit C Disclosure Schedules were deliberately omitted from signature binder]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