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MASTER ASSET PURCHASE AND REORGANIZATION AGREEMENT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INITIAL APPROVED BASELINE DRAFT</w:t>
        <w:br/>
        <w:t>OCTOBER 2026</w:t>
      </w:r>
    </w:p>
    <w:p>
      <w:pPr>
        <w:spacing w:line="276" w:lineRule="auto" w:after="200"/>
      </w:pPr>
      <w:r>
        <w:rPr>
          <w:rFonts w:ascii="Times New Roman" w:hAnsi="Times New Roman"/>
          <w:b w:val="0"/>
          <w:i w:val="0"/>
          <w:color w:val="000000"/>
          <w:sz w:val="22"/>
        </w:rPr>
        <w:t>THIS MASTER ASSET PURCHASE AND REORGANIZATION AGREEMENT (this "Agreement") is made and entered into as of October 15, 2026, by and between Apex Technologies Group LLC, a Delaware limited liability company ("Buyer"), and Vanguard Enterprise Solutions Inc., a Delaware corporation ("Seller").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</w:rPr>
        <w:t>ARTICLE II: PURCHASE AND SALE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2.1 Transfer of Assets. </w:t>
      </w:r>
      <w:r>
        <w:rPr>
          <w:rFonts w:ascii="Times New Roman" w:hAnsi="Times New Roman"/>
          <w:b w:val="0"/>
          <w:i w:val="0"/>
          <w:color w:val="000000"/>
          <w:sz w:val="22"/>
        </w:rPr>
        <w:t>Seller agrees to convey all designated Acquired Assets to Buyer free of Liens.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2.3 Outside Termination Date. </w:t>
      </w:r>
      <w:r>
        <w:rPr>
          <w:rFonts w:ascii="Times New Roman" w:hAnsi="Times New Roman"/>
          <w:b w:val="0"/>
          <w:i w:val="0"/>
          <w:color w:val="000000"/>
          <w:sz w:val="22"/>
        </w:rPr>
        <w:t>The Outside Termination Date shall be December 31, 2026.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</w:rPr>
        <w:t>ARTICLE III: PURCHASE CONSIDERATION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3.1 Purchase Price Consideration. </w:t>
      </w:r>
      <w:r>
        <w:rPr>
          <w:rFonts w:ascii="Times New Roman" w:hAnsi="Times New Roman"/>
          <w:b w:val="0"/>
          <w:i w:val="0"/>
          <w:color w:val="000000"/>
          <w:sz w:val="22"/>
        </w:rPr>
        <w:t>Buyer agrees to pay Seller the total purchase price of Two Million Four Hundred Thousand Dollars ($2,400,000) in immediately available funds.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</w:rPr>
        <w:t>ARTICLE IV: DISCLOSURE SCHEDULES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4.2 Exhibit C. </w:t>
      </w:r>
      <w:r>
        <w:rPr>
          <w:rFonts w:ascii="Times New Roman" w:hAnsi="Times New Roman"/>
          <w:b w:val="0"/>
          <w:i w:val="0"/>
          <w:color w:val="000000"/>
          <w:sz w:val="22"/>
        </w:rPr>
        <w:t>Exhibit C contains all required IP and software disclosure schedules.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</w:rPr>
        <w:t>ARTICLE VIII: TERMINATION AND DISPUTES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8.2 Notice of Breach. </w:t>
      </w:r>
      <w:r>
        <w:rPr>
          <w:rFonts w:ascii="Times New Roman" w:hAnsi="Times New Roman"/>
          <w:b w:val="0"/>
          <w:i w:val="0"/>
          <w:color w:val="000000"/>
          <w:sz w:val="22"/>
        </w:rPr>
        <w:t>Cure period shall be thirty (30) calendar days following written notice.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</w:rPr>
        <w:t>ARTICLE X: GOVERNING LAW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10.3 Binding Effect. </w:t>
      </w:r>
      <w:r>
        <w:rPr>
          <w:rFonts w:ascii="Times New Roman" w:hAnsi="Times New Roman"/>
          <w:b w:val="0"/>
          <w:i w:val="0"/>
          <w:color w:val="000000"/>
          <w:sz w:val="22"/>
        </w:rPr>
        <w:t>Binding upon Apex Technologies Group LLC, a Delaware limited liability company ("Buyer").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