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Space Grotesk" w:cs="Space Grotesk" w:eastAsia="Space Grotesk" w:hAnsi="Space Grotesk"/>
          <w:b/>
          <w:bCs/>
          <w:color w:val="1A1A1A"/>
          <w:sz w:val="52"/>
          <w:szCs w:val="52"/>
        </w:rPr>
        <w:t xml:space="preserve">HORO EGYPT</w:t>
      </w:r>
    </w:p>
    <w:p>
      <w:pPr>
        <w:spacing w:after="80"/>
        <w:jc w:val="center"/>
      </w:pPr>
      <w:r>
        <w:rPr>
          <w:rFonts w:ascii="Inter" w:cs="Inter" w:eastAsia="Inter" w:hAnsi="Inter"/>
          <w:i/>
          <w:iCs/>
          <w:sz w:val="22"/>
          <w:szCs w:val="22"/>
        </w:rPr>
        <w:t xml:space="preserve">Wear What You Mean</w:t>
      </w:r>
    </w:p>
    <w:p>
      <w:pPr>
        <w:spacing w:after="80"/>
      </w:pPr>
    </w:p>
    <w:p>
      <w:pPr>
        <w:pBdr>
          <w:top w:val="single" w:color="CA4D34" w:sz="6" w:space="8"/>
          <w:bottom w:val="single" w:color="CA4D34" w:sz="6" w:space="8"/>
        </w:pBdr>
        <w:spacing w:before="200" w:after="200"/>
        <w:jc w:val="center"/>
      </w:pPr>
      <w:r>
        <w:rPr>
          <w:rFonts w:ascii="Space Grotesk" w:cs="Space Grotesk" w:eastAsia="Space Grotesk" w:hAnsi="Space Grotesk"/>
          <w:b/>
          <w:bCs/>
          <w:color w:val="CA4D34"/>
          <w:sz w:val="40"/>
          <w:szCs w:val="40"/>
        </w:rPr>
        <w:t xml:space="preserve">Brand Guidelines v2.2</w:t>
      </w:r>
    </w:p>
    <w:p>
      <w:pPr>
        <w:spacing w:after="60"/>
        <w:jc w:val="center"/>
      </w:pPr>
      <w:r>
        <w:rPr>
          <w:rFonts w:ascii="Inter" w:cs="Inter" w:eastAsia="Inter" w:hAnsi="Inter"/>
          <w:color w:val="2B7596"/>
          <w:sz w:val="20"/>
          <w:szCs w:val="20"/>
        </w:rPr>
        <w:t xml:space="preserve">UX Principles Integration: StoryBrand, Congruence, Testing Culture,</w:t>
      </w:r>
    </w:p>
    <w:p>
      <w:pPr>
        <w:spacing w:after="60"/>
        <w:jc w:val="center"/>
      </w:pPr>
      <w:r>
        <w:rPr>
          <w:rFonts w:ascii="Inter" w:cs="Inter" w:eastAsia="Inter" w:hAnsi="Inter"/>
          <w:color w:val="2B7596"/>
          <w:sz w:val="20"/>
          <w:szCs w:val="20"/>
        </w:rPr>
        <w:t xml:space="preserve">3-Act Screen Design, Checkout UX &amp; Accessibility</w:t>
      </w:r>
    </w:p>
    <w:p>
      <w:pPr>
        <w:spacing w:before="1200"/>
      </w:pPr>
    </w:p>
    <w:p>
      <w:pPr>
        <w:spacing w:after="60"/>
        <w:jc w:val="center"/>
      </w:pPr>
      <w:r>
        <w:rPr>
          <w:rFonts w:ascii="Inter" w:cs="Inter" w:eastAsia="Inter" w:hAnsi="Inter"/>
          <w:sz w:val="22"/>
          <w:szCs w:val="22"/>
        </w:rPr>
        <w:t xml:space="preserve">March 2026</w:t>
      </w:r>
    </w:p>
    <w:p>
      <w:pPr>
        <w:jc w:val="center"/>
      </w:pPr>
      <w:r>
        <w:rPr>
          <w:rFonts w:ascii="Inter" w:cs="Inter" w:eastAsia="Inter" w:hAnsi="Inter"/>
          <w:i/>
          <w:iCs/>
          <w:sz w:val="22"/>
          <w:szCs w:val="22"/>
        </w:rPr>
        <w:t xml:space="preserve">Sources: 9-reference UX synthesis (FACTUM, 33 Phenomena, Wirtz, Solberg Söilen, Wasilewski, Kumar &amp; Kotler, Green &amp; Brandon, Dahlström, Miller/StoryBrand)</w:t>
      </w:r>
    </w:p>
    <w:p>
      <w:r>
        <w:br w:type="page"/>
      </w:r>
    </w:p>
    <w:p>
      <w:pPr>
        <w:pStyle w:val="Heading1"/>
      </w:pPr>
      <w:r>
        <w:t xml:space="preserve">What v2.2 Adds to the Guidelines</w:t>
      </w:r>
    </w:p>
    <w:p>
      <w:pPr>
        <w:spacing w:after="160"/>
      </w:pPr>
      <w:r>
        <w:rPr>
          <w:rFonts w:ascii="Inter" w:cs="Inter" w:eastAsia="Inter" w:hAnsi="Inter"/>
          <w:sz w:val="22"/>
          <w:szCs w:val="22"/>
        </w:rPr>
        <w:t xml:space="preserve">Version 2.2 integrates findings from a 9-source UX principles extraction covering fashion communication, purchasing psychology, digital business systems, information architecture, multivariant UI personalization, Marketing 5.0, Figma-based UX process, multidevice storytelling, and the StoryBrand messaging framework. The previous versions (v2.0 and v2.1) addressed pricing, language, glassmorphism, product classification, visual-first design, and color contrast. This version adds the </w:t>
      </w:r>
      <w:r>
        <w:rPr>
          <w:rFonts w:ascii="Inter" w:cs="Inter" w:eastAsia="Inter" w:hAnsi="Inter"/>
          <w:b/>
          <w:bCs/>
          <w:sz w:val="22"/>
          <w:szCs w:val="22"/>
        </w:rPr>
        <w:t xml:space="preserve">behavioral, structural, and process layers</w:t>
      </w:r>
      <w:r>
        <w:rPr>
          <w:rFonts w:ascii="Inter" w:cs="Inter" w:eastAsia="Inter" w:hAnsi="Inter"/>
          <w:sz w:val="22"/>
          <w:szCs w:val="22"/>
        </w:rPr>
        <w:t xml:space="preserve"> that determine whether the visual system actually converts.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New Section</w:t>
            </w:r>
          </w:p>
        </w:tc>
        <w:tc>
          <w:tcPr>
            <w:tcW w:type="dxa" w:w="45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What It Addresses</w:t>
            </w:r>
          </w:p>
        </w:tc>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Source</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SB7 Messaging Audit</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Customer = hero, brand = guide; every screen passes the clarity test</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Miller (Part I)</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3-Act Screen Design</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Setup / confrontation / resolution per page; one dramatic question per screen</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Dahlström (Part H)</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Navigation Congruence</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IA must match buyer mental models; “max 5 categories” is a hypothesis, not a rule</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33 Phenomena (Part B)</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Checkout &amp; Cart UX</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Guest checkout, early shipping cost, progress indicator, COD-first flow</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Solberg Söilen (Part D)</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Testing Culture</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Experiments over assumptions; what to A/B test and when</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Parts B, D, E, G</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Trust Architecture</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HMI success factors: security, reliability, performance at payment</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Wirtz (Part C)</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Scarcity &amp; Urgency Ethics</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Truthful stock signals; no false urgency; explain deadlines</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33 Phenomena + Miller</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Accessibility Standard</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WCAG 2.1 AA as implementation bar, not optional</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Green &amp; Brandon + Wasilewski</w:t>
            </w:r>
          </w:p>
        </w:tc>
      </w:tr>
      <w:tr>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Personalization Governance</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Segment-level variants before ML; split test everything; privacy-first</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Wasilewski (Part E)</w:t>
            </w:r>
          </w:p>
        </w:tc>
      </w:tr>
    </w:tbl>
    <w:p>
      <w:r>
        <w:br w:type="page"/>
      </w:r>
    </w:p>
    <w:p>
      <w:pPr>
        <w:pStyle w:val="Heading1"/>
      </w:pPr>
      <w:r>
        <w:t xml:space="preserve">Section 1: StoryBrand SB7 Messaging Audit</w:t>
      </w:r>
    </w:p>
    <w:p>
      <w:pPr>
        <w:spacing w:after="160"/>
      </w:pPr>
      <w:r>
        <w:rPr>
          <w:rFonts w:ascii="Inter" w:cs="Inter" w:eastAsia="Inter" w:hAnsi="Inter"/>
          <w:sz w:val="22"/>
          <w:szCs w:val="22"/>
        </w:rPr>
        <w:t xml:space="preserve">The v2.0 guidelines already position the customer as “the hero” and HORO as “the guide.” Miller’s SB7 framework makes this </w:t>
      </w:r>
      <w:r>
        <w:rPr>
          <w:rFonts w:ascii="Inter" w:cs="Inter" w:eastAsia="Inter" w:hAnsi="Inter"/>
          <w:b/>
          <w:bCs/>
          <w:sz w:val="22"/>
          <w:szCs w:val="22"/>
        </w:rPr>
        <w:t xml:space="preserve">operationally testable</w:t>
      </w:r>
      <w:r>
        <w:rPr>
          <w:rFonts w:ascii="Inter" w:cs="Inter" w:eastAsia="Inter" w:hAnsi="Inter"/>
          <w:sz w:val="22"/>
          <w:szCs w:val="22"/>
        </w:rPr>
        <w:t xml:space="preserve"> by requiring every page surface to answer seven questions. Before debating visual details, pressure-test all copy and layout against this checklist.</w:t>
      </w:r>
    </w:p>
    <w:p>
      <w:pPr>
        <w:pStyle w:val="Heading2"/>
      </w:pPr>
      <w:r>
        <w:t xml:space="preserve">The SB7 Applied to HORO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SB7 Element</w:t>
            </w:r>
          </w:p>
        </w:tc>
        <w:tc>
          <w:tcPr>
            <w:tcW w:type="dxa" w:w="45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HORO Application</w:t>
            </w:r>
          </w:p>
        </w:tc>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Where It Lives</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 Character (the customer wants something)</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customer wants clothing that says something real about who they are. Not “nice tee”—specific identity expression.</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Hero headline, product page “For the one who…”</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 Has a problem</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External: “Nothing in my closet says what I’m thinking.” Internal: feeling unseen, generic. Philosophical: everyone deserves to be understood.</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The Feeling section, ad copy, DM openers</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 Meets a guide</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HORO shows empathy (“We know that feeling”) and authority (artist curation, 220 GSM cotton, licensed artwork, real customer stories).</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Trust strip, artist profiles, social proof</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 Who gives them a plan</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Step 1: Find your vibe. Step 2: Pick your design. Step 3: It arrives at your door.</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Homepage scroll arc, checkout progress indicator</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 Calls them to action</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Direct CTA: “Explore the Collection” / “Add to Cart.” Transitional CTA: “Find your vibe” quiz, email capture, WhatsApp follow.</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Every page has one primary CTA; transitional is secondary in visual hierarchy</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 That helps them avoid failure</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Without HORO: stuck in generic, mass-market tees that say nothing. Gift: giving something forgettable.</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Implied in problem framing; never as dark-pattern urgency</w:t>
            </w:r>
          </w:p>
        </w:tc>
      </w:tr>
      <w:tr>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7. And ends in success</w:t>
            </w:r>
          </w:p>
        </w:tc>
        <w:tc>
          <w:tcPr>
            <w:tcW w:type="dxa" w:w="4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Wearing something that starts conversations. “Where’d you get that?” The ownership moment.</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Post-purchase email, customer stories, Stage 5 of narrative arc</w:t>
            </w:r>
          </w:p>
        </w:tc>
      </w:tr>
    </w:tbl>
    <w:p>
      <w:pPr>
        <w:spacing w:after="80"/>
      </w:pPr>
    </w:p>
    <w:p>
      <w:pPr>
        <w:spacing w:after="160"/>
      </w:pPr>
      <w:r>
        <w:rPr>
          <w:rFonts w:ascii="Inter" w:cs="Inter" w:eastAsia="Inter" w:hAnsi="Inter"/>
          <w:b/>
          <w:bCs/>
          <w:color w:val="2B7596"/>
          <w:sz w:val="20"/>
          <w:szCs w:val="20"/>
        </w:rPr>
        <w:t xml:space="preserve">[RULE]</w:t>
      </w:r>
      <w:r>
        <w:rPr>
          <w:rFonts w:ascii="Inter" w:cs="Inter" w:eastAsia="Inter" w:hAnsi="Inter"/>
          <w:sz w:val="22"/>
          <w:szCs w:val="22"/>
        </w:rPr>
        <w:t xml:space="preserve">  Every page must answer at least three SB7 elements within the first viewport: who is the hero (1), what is the problem (2), and what is the action (5). If a page fails this test, fix the copy before touching the design.</w:t>
      </w:r>
    </w:p>
    <w:p>
      <w:pPr>
        <w:spacing w:after="160"/>
      </w:pPr>
      <w:r>
        <w:rPr>
          <w:rFonts w:ascii="Inter" w:cs="Inter" w:eastAsia="Inter" w:hAnsi="Inter"/>
          <w:b/>
          <w:bCs/>
          <w:color w:val="CA4D34"/>
          <w:sz w:val="20"/>
          <w:szCs w:val="20"/>
        </w:rPr>
        <w:t xml:space="preserve">[RECONCILIATION]</w:t>
      </w:r>
      <w:r>
        <w:rPr>
          <w:rFonts w:ascii="Inter" w:cs="Inter" w:eastAsia="Inter" w:hAnsi="Inter"/>
          <w:sz w:val="22"/>
          <w:szCs w:val="22"/>
        </w:rPr>
        <w:t xml:space="preserve">  The v2.0 narrative arc (6 stages from “The Unnamed Feeling” to “Belonging”) maps cleanly to SB7. They are not competing frameworks—SB7 is the copy checklist, the narrative arc is the emotional journey map. Use both: SB7 to audit each screen’s text, the narrative arc to sequence the screens.</w:t>
      </w:r>
    </w:p>
    <w:p>
      <w:r>
        <w:br w:type="page"/>
      </w:r>
    </w:p>
    <w:p>
      <w:pPr>
        <w:pStyle w:val="Heading1"/>
      </w:pPr>
      <w:r>
        <w:t xml:space="preserve">Section 2: 3-Act Screen Design (Dahlström)</w:t>
      </w:r>
    </w:p>
    <w:p>
      <w:pPr>
        <w:spacing w:after="160"/>
      </w:pPr>
      <w:r>
        <w:rPr>
          <w:rFonts w:ascii="Inter" w:cs="Inter" w:eastAsia="Inter" w:hAnsi="Inter"/>
          <w:sz w:val="22"/>
          <w:szCs w:val="22"/>
        </w:rPr>
        <w:t xml:space="preserve">Every major page in the HORO storefront serves </w:t>
      </w:r>
      <w:r>
        <w:rPr>
          <w:rFonts w:ascii="Inter" w:cs="Inter" w:eastAsia="Inter" w:hAnsi="Inter"/>
          <w:b/>
          <w:bCs/>
          <w:sz w:val="22"/>
          <w:szCs w:val="22"/>
        </w:rPr>
        <w:t xml:space="preserve">one dramatic question</w:t>
      </w:r>
      <w:r>
        <w:rPr>
          <w:rFonts w:ascii="Inter" w:cs="Inter" w:eastAsia="Inter" w:hAnsi="Inter"/>
          <w:sz w:val="22"/>
          <w:szCs w:val="22"/>
        </w:rPr>
        <w:t xml:space="preserve">. The Dahlström principle: structure each screen as a miniature story with setup, confrontation, and resolution—so the user always knows where they are, what’s at stake, and what to do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Page</w:t>
            </w:r>
          </w:p>
        </w:tc>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Setup (what’s the context)</w:t>
            </w:r>
          </w:p>
        </w:tc>
        <w:tc>
          <w:tcPr>
            <w:tcW w:type="dxa" w:w="2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Confrontation (what’s the tension)</w:t>
            </w:r>
          </w:p>
        </w:tc>
        <w:tc>
          <w:tcPr>
            <w:tcW w:type="dxa" w:w="25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Resolution (what’s the action)</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Homepage</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“Wear What You Mean”—naming the feeling</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 vibes: which one is you? + trust proof</w:t>
            </w:r>
          </w:p>
        </w:tc>
        <w:tc>
          <w:tcPr>
            <w:tcW w:type="dxa" w:w="2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Explore the Collection CTA</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Collection (Vibe page)</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You chose Bold &amp; Loud. Here’s what that looks like.</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24 designs—which one is yours? Comparison, filtering.</w:t>
            </w:r>
          </w:p>
        </w:tc>
        <w:tc>
          <w:tcPr>
            <w:tcW w:type="dxa" w:w="2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Add to Cart or Quick View</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Detail</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“For the one who…”—the design’s story + artist</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Can I trust this? (size, quality, delivery)</w:t>
            </w:r>
          </w:p>
        </w:tc>
        <w:tc>
          <w:tcPr>
            <w:tcW w:type="dxa" w:w="2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Select size → Add to Cart</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Cart</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You chose well. Here’s what you’re getting.</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Is the total right? Any doubts?</w:t>
            </w:r>
          </w:p>
        </w:tc>
        <w:tc>
          <w:tcPr>
            <w:tcW w:type="dxa" w:w="2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Proceed to Checkout</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Checkout</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Almost done. We need your details.</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Payment trust, delivery clarity, COD option</w:t>
            </w:r>
          </w:p>
        </w:tc>
        <w:tc>
          <w:tcPr>
            <w:tcW w:type="dxa" w:w="2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Place Order</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Confirmation</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“You completed this design by choosing it.”</w:t>
            </w:r>
          </w:p>
        </w:tc>
        <w:tc>
          <w:tcPr>
            <w:tcW w:type="dxa" w:w="2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(No tension—pure resolution)</w:t>
            </w:r>
          </w:p>
        </w:tc>
        <w:tc>
          <w:tcPr>
            <w:tcW w:type="dxa" w:w="2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Track order + Tag us in your first wear</w:t>
            </w:r>
          </w:p>
        </w:tc>
      </w:tr>
    </w:tbl>
    <w:p>
      <w:pPr>
        <w:spacing w:after="160"/>
      </w:pPr>
      <w:r>
        <w:rPr>
          <w:rFonts w:ascii="Inter" w:cs="Inter" w:eastAsia="Inter" w:hAnsi="Inter"/>
          <w:b/>
          <w:bCs/>
          <w:color w:val="2B7596"/>
          <w:sz w:val="20"/>
          <w:szCs w:val="20"/>
        </w:rPr>
        <w:t xml:space="preserve">[RULE]</w:t>
      </w:r>
      <w:r>
        <w:rPr>
          <w:rFonts w:ascii="Inter" w:cs="Inter" w:eastAsia="Inter" w:hAnsi="Inter"/>
          <w:sz w:val="22"/>
          <w:szCs w:val="22"/>
        </w:rPr>
        <w:t xml:space="preserve">  If a screen has no clear confrontation (tension or choice), it is either unnecessary or misplaced in the journey. If it has confrontation but no resolution (CTA), the user is stranded.</w:t>
      </w:r>
    </w:p>
    <w:p>
      <w:r>
        <w:br w:type="page"/>
      </w:r>
    </w:p>
    <w:p>
      <w:pPr>
        <w:pStyle w:val="Heading1"/>
      </w:pPr>
      <w:r>
        <w:t xml:space="preserve">Section 3: Navigation Congruence &amp; Choice Architecture</w:t>
      </w:r>
    </w:p>
    <w:p>
      <w:pPr>
        <w:pStyle w:val="Heading2"/>
      </w:pPr>
      <w:r>
        <w:t xml:space="preserve">The Congruence Principle</w:t>
      </w:r>
    </w:p>
    <w:p>
      <w:pPr>
        <w:spacing w:after="160"/>
      </w:pPr>
      <w:r>
        <w:rPr>
          <w:rFonts w:ascii="Inter" w:cs="Inter" w:eastAsia="Inter" w:hAnsi="Inter"/>
          <w:sz w:val="22"/>
          <w:szCs w:val="22"/>
        </w:rPr>
        <w:t xml:space="preserve">Research (Rooderkerk &amp; Lehmann, 2021) shows that when </w:t>
      </w:r>
      <w:r>
        <w:rPr>
          <w:rFonts w:ascii="Inter" w:cs="Inter" w:eastAsia="Inter" w:hAnsi="Inter"/>
          <w:b/>
          <w:bCs/>
          <w:sz w:val="22"/>
          <w:szCs w:val="22"/>
        </w:rPr>
        <w:t xml:space="preserve">external product categorization matches the buyer’s internal mental model</w:t>
      </w:r>
      <w:r>
        <w:rPr>
          <w:rFonts w:ascii="Inter" w:cs="Inter" w:eastAsia="Inter" w:hAnsi="Inter"/>
          <w:sz w:val="22"/>
          <w:szCs w:val="22"/>
        </w:rPr>
        <w:t xml:space="preserve">, purchase intention increases significantly. The effect is strongest for category-familiar buyers. The v2.0 guidelines introduced a 3-axis navigation system (Vibe / Occasion / Artist) based on brand logic. </w:t>
      </w:r>
      <w:r>
        <w:rPr>
          <w:rFonts w:ascii="Inter" w:cs="Inter" w:eastAsia="Inter" w:hAnsi="Inter"/>
          <w:b/>
          <w:bCs/>
          <w:sz w:val="22"/>
          <w:szCs w:val="22"/>
        </w:rPr>
        <w:t xml:space="preserve">This must now be validated against how real HORO buyers actually think about graphic tees.</w:t>
      </w:r>
    </w:p>
    <w:p>
      <w:pPr>
        <w:pStyle w:val="Heading2"/>
      </w:pPr>
      <w:r>
        <w:t xml:space="preserve">What to Test (MVP Phase)</w:t>
      </w:r>
    </w:p>
    <w:p>
      <w:pPr>
        <w:pStyle w:val="ListParagraph"/>
        <w:numPr>
          <w:ilvl w:val="0"/>
          <w:numId w:val="2"/>
        </w:numPr>
        <w:spacing w:after="100"/>
      </w:pPr>
      <w:r>
        <w:rPr>
          <w:rFonts w:ascii="Inter" w:cs="Inter" w:eastAsia="Inter" w:hAnsi="Inter"/>
          <w:b/>
          <w:bCs/>
          <w:sz w:val="22"/>
          <w:szCs w:val="22"/>
        </w:rPr>
        <w:t xml:space="preserve">Card sorting exercise: </w:t>
      </w:r>
      <w:r>
        <w:rPr>
          <w:rFonts w:ascii="Inter" w:cs="Inter" w:eastAsia="Inter" w:hAnsi="Inter"/>
          <w:sz w:val="22"/>
          <w:szCs w:val="22"/>
        </w:rPr>
        <w:t xml:space="preserve">Show 20–30 HORO designs (images only, no labels) to 15–20 target users. Ask them to group the designs into categories and name each group. Compare their natural groupings against the 5 vibes. If buyers group by visual style or color rather than emotional vibe, the navigation needs adjustment.</w:t>
      </w:r>
    </w:p>
    <w:p>
      <w:pPr>
        <w:pStyle w:val="ListParagraph"/>
        <w:numPr>
          <w:ilvl w:val="0"/>
          <w:numId w:val="2"/>
        </w:numPr>
        <w:spacing w:after="100"/>
      </w:pPr>
      <w:r>
        <w:rPr>
          <w:rFonts w:ascii="Inter" w:cs="Inter" w:eastAsia="Inter" w:hAnsi="Inter"/>
          <w:b/>
          <w:bCs/>
          <w:sz w:val="22"/>
          <w:szCs w:val="22"/>
        </w:rPr>
        <w:t xml:space="preserve">First-click test: </w:t>
      </w:r>
      <w:r>
        <w:rPr>
          <w:rFonts w:ascii="Inter" w:cs="Inter" w:eastAsia="Inter" w:hAnsi="Inter"/>
          <w:sz w:val="22"/>
          <w:szCs w:val="22"/>
        </w:rPr>
        <w:t xml:space="preserve">Show the homepage to users and ask “You want to buy a gift for your friend’s birthday.” Record where they click first. If more than 40% miss the “Shop by Occasion” axis, the labeling or placement is wrong.</w:t>
      </w:r>
    </w:p>
    <w:p>
      <w:pPr>
        <w:pStyle w:val="ListParagraph"/>
        <w:numPr>
          <w:ilvl w:val="0"/>
          <w:numId w:val="2"/>
        </w:numPr>
        <w:spacing w:after="100"/>
      </w:pPr>
      <w:r>
        <w:rPr>
          <w:rFonts w:ascii="Inter" w:cs="Inter" w:eastAsia="Inter" w:hAnsi="Inter"/>
          <w:b/>
          <w:bCs/>
          <w:sz w:val="22"/>
          <w:szCs w:val="22"/>
        </w:rPr>
        <w:t xml:space="preserve">Tree test: </w:t>
      </w:r>
      <w:r>
        <w:rPr>
          <w:rFonts w:ascii="Inter" w:cs="Inter" w:eastAsia="Inter" w:hAnsi="Inter"/>
          <w:sz w:val="22"/>
          <w:szCs w:val="22"/>
        </w:rPr>
        <w:t xml:space="preserve">Present the 3-axis navigation as a text-only tree. Give users 5 product-finding tasks. Measure success rate and time. If success is below 70%, restructure before launch.</w:t>
      </w:r>
    </w:p>
    <w:p>
      <w:pPr>
        <w:pStyle w:val="Heading2"/>
      </w:pPr>
      <w:r>
        <w:t xml:space="preserve">The “Max 5 Categories” Rule: A Hypothesis, Not Doctrine</w:t>
      </w:r>
    </w:p>
    <w:p>
      <w:pPr>
        <w:spacing w:after="160"/>
      </w:pPr>
      <w:r>
        <w:rPr>
          <w:rFonts w:ascii="Inter" w:cs="Inter" w:eastAsia="Inter" w:hAnsi="Inter"/>
          <w:sz w:val="22"/>
          <w:szCs w:val="22"/>
        </w:rPr>
        <w:t xml:space="preserve">The v2.0 guidelines state “maximum 5 categories visible at any single navigation level.” The 33 Phenomena source warns that </w:t>
      </w:r>
      <w:r>
        <w:rPr>
          <w:rFonts w:ascii="Inter" w:cs="Inter" w:eastAsia="Inter" w:hAnsi="Inter"/>
          <w:b/>
          <w:bCs/>
          <w:sz w:val="22"/>
          <w:szCs w:val="22"/>
        </w:rPr>
        <w:t xml:space="preserve">smaller assortment does not always convert better</w:t>
      </w:r>
      <w:r>
        <w:rPr>
          <w:rFonts w:ascii="Inter" w:cs="Inter" w:eastAsia="Inter" w:hAnsi="Inter"/>
          <w:sz w:val="22"/>
          <w:szCs w:val="22"/>
        </w:rPr>
        <w:t xml:space="preserve">—the famous jam experiment did not replicate consistently, and chocolate field studies found larger sets outperforming smaller ones under promotion. For HORO’s browse-heavy fashion context:</w:t>
      </w:r>
    </w:p>
    <w:p>
      <w:pPr>
        <w:pStyle w:val="ListParagraph"/>
        <w:numPr>
          <w:ilvl w:val="0"/>
          <w:numId w:val="2"/>
        </w:numPr>
        <w:spacing w:after="100"/>
      </w:pPr>
      <w:r>
        <w:rPr>
          <w:rFonts w:ascii="Inter" w:cs="Inter" w:eastAsia="Inter" w:hAnsi="Inter"/>
          <w:sz w:val="22"/>
          <w:szCs w:val="22"/>
        </w:rPr>
        <w:t xml:space="preserve">5 vibes at the top level is a </w:t>
      </w:r>
      <w:r>
        <w:rPr>
          <w:rFonts w:ascii="Inter" w:cs="Inter" w:eastAsia="Inter" w:hAnsi="Inter"/>
          <w:b/>
          <w:bCs/>
          <w:sz w:val="22"/>
          <w:szCs w:val="22"/>
        </w:rPr>
        <w:t xml:space="preserve">starting hypothesis</w:t>
      </w:r>
      <w:r>
        <w:rPr>
          <w:rFonts w:ascii="Inter" w:cs="Inter" w:eastAsia="Inter" w:hAnsi="Inter"/>
          <w:sz w:val="22"/>
          <w:szCs w:val="22"/>
        </w:rPr>
        <w:t xml:space="preserve">. If card sorting reveals buyers want 6–7 natural groupings, test 7. Do not force designs into 5 categories if it creates misfit.</w:t>
      </w:r>
    </w:p>
    <w:p>
      <w:pPr>
        <w:pStyle w:val="ListParagraph"/>
        <w:numPr>
          <w:ilvl w:val="0"/>
          <w:numId w:val="2"/>
        </w:numPr>
        <w:spacing w:after="100"/>
      </w:pPr>
      <w:r>
        <w:rPr>
          <w:rFonts w:ascii="Inter" w:cs="Inter" w:eastAsia="Inter" w:hAnsi="Inter"/>
          <w:sz w:val="22"/>
          <w:szCs w:val="22"/>
        </w:rPr>
        <w:t xml:space="preserve">Within a vibe, </w:t>
      </w:r>
      <w:r>
        <w:rPr>
          <w:rFonts w:ascii="Inter" w:cs="Inter" w:eastAsia="Inter" w:hAnsi="Inter"/>
          <w:b/>
          <w:bCs/>
          <w:sz w:val="22"/>
          <w:szCs w:val="22"/>
        </w:rPr>
        <w:t xml:space="preserve">do not arbitrarily limit visible products</w:t>
      </w:r>
      <w:r>
        <w:rPr>
          <w:rFonts w:ascii="Inter" w:cs="Inter" w:eastAsia="Inter" w:hAnsi="Inter"/>
          <w:sz w:val="22"/>
          <w:szCs w:val="22"/>
        </w:rPr>
        <w:t xml:space="preserve">. Solberg Söilen recommends ≤ 7 primary nav items, but product grids within a category can be larger as long as filtering and visual scanning are easy.</w:t>
      </w:r>
    </w:p>
    <w:p>
      <w:pPr>
        <w:pStyle w:val="ListParagraph"/>
        <w:numPr>
          <w:ilvl w:val="0"/>
          <w:numId w:val="2"/>
        </w:numPr>
        <w:spacing w:after="100"/>
      </w:pPr>
      <w:r>
        <w:rPr>
          <w:rFonts w:ascii="Inter" w:cs="Inter" w:eastAsia="Inter" w:hAnsi="Inter"/>
          <w:b/>
          <w:bCs/>
          <w:sz w:val="22"/>
          <w:szCs w:val="22"/>
        </w:rPr>
        <w:t xml:space="preserve">Default “best for you” option: </w:t>
      </w:r>
      <w:r>
        <w:rPr>
          <w:rFonts w:ascii="Inter" w:cs="Inter" w:eastAsia="Inter" w:hAnsi="Inter"/>
          <w:sz w:val="22"/>
          <w:szCs w:val="22"/>
        </w:rPr>
        <w:t xml:space="preserve">If choice overload is detected (high browse time, low add-to-cart on collection pages), test adding a “HORO Picks” curated section at the top of each vibe page—a dominant option that reduces decision difficulty.</w:t>
      </w:r>
    </w:p>
    <w:p>
      <w:r>
        <w:br w:type="page"/>
      </w:r>
    </w:p>
    <w:p>
      <w:pPr>
        <w:pStyle w:val="Heading1"/>
      </w:pPr>
      <w:r>
        <w:t xml:space="preserve">Section 4: Checkout &amp; Cart UX Standards</w:t>
      </w:r>
    </w:p>
    <w:p>
      <w:pPr>
        <w:spacing w:after="160"/>
      </w:pPr>
      <w:r>
        <w:rPr>
          <w:rFonts w:ascii="Inter" w:cs="Inter" w:eastAsia="Inter" w:hAnsi="Inter"/>
          <w:sz w:val="22"/>
          <w:szCs w:val="22"/>
        </w:rPr>
        <w:t xml:space="preserve">The market research identified COD dominance (98.4% cash preference) and RTO risk as existential threats. Solberg Söilen’s checkout checklist and Wirtz’s HMI reliability principles combine into </w:t>
      </w:r>
      <w:r>
        <w:rPr>
          <w:rFonts w:ascii="Inter" w:cs="Inter" w:eastAsia="Inter" w:hAnsi="Inter"/>
          <w:b/>
          <w:bCs/>
          <w:sz w:val="22"/>
          <w:szCs w:val="22"/>
        </w:rPr>
        <w:t xml:space="preserve">non-negotiable checkout rules</w:t>
      </w:r>
      <w:r>
        <w:rPr>
          <w:rFonts w:ascii="Inter" w:cs="Inter" w:eastAsia="Inter" w:hAnsi="Inter"/>
          <w:sz w:val="22"/>
          <w:szCs w:val="22"/>
        </w:rPr>
        <w:t xml:space="preserve"> that override aesthetic preferences.</w:t>
      </w:r>
    </w:p>
    <w:p>
      <w:pPr>
        <w:pStyle w:val="Heading2"/>
      </w:pPr>
      <w:r>
        <w:t xml:space="preserve">Checkout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Rule</w:t>
            </w:r>
          </w:p>
        </w:tc>
        <w:tc>
          <w:tcPr>
            <w:tcW w:type="dxa" w:w="41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Rationale</w:t>
            </w:r>
          </w:p>
        </w:tc>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Source</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Guest checkout available (no forced account creation)</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Forced registration is the #2 abandonment driver after unexpected costs</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Solberg Söilen Ch.9</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Shipping cost visible before checkout starts</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Surprise costs are the #1 abandonment driver globally</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Solberg Söilen + Wirtz</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Progress indicator (Step 1 of 3, etc.)</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Reduces perceived complexity and builds completion momentum</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Solberg Söilen Ch.9</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COD as the default payment option for Egypt</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98.4% cash preference; COD-first flow reduces friction</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Market Research</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Prepaid incentive visible but not required</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“Save 30 EGP with card payment” nudges prepaid without blocking COD buyers</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33 Phenomena (nudging)</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WhatsApp order confirmation after COD placement</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Confirms legitimacy; reduces RTO by making the order feel “real”</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Market Research</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Order summary with product image at every step</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Buyer cannot inspect product physically—visual reassurance at payment</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Wirtz HMI + Solberg</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Autofill / address lookup for Egyptian addresses</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Reduces form friction; Egypt address formats are non-standard</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Solberg Söilen Ch.9</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Mobile-first: single-column, large touch targets (48px min)</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Mobile-first market; linear content on small screens</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Solberg Söilen Ch.13</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Exchange/return policy link visible on checkout page</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Trust signal at the moment of highest doubt</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FACTUM transparency</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Simple arithmetic: no footnote pricing, no hidden fees</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Numeracy research shows buyers mischoose under complexity</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33 Phenomena</w:t>
            </w:r>
          </w:p>
        </w:tc>
      </w:tr>
    </w:tbl>
    <w:p>
      <w:pPr>
        <w:pStyle w:val="Heading2"/>
      </w:pPr>
      <w:r>
        <w:t xml:space="preserve">Cart-Adjacent Upsell: One Path, Not Five</w:t>
      </w:r>
    </w:p>
    <w:p>
      <w:pPr>
        <w:spacing w:after="160"/>
      </w:pPr>
      <w:r>
        <w:rPr>
          <w:rFonts w:ascii="Inter" w:cs="Inter" w:eastAsia="Inter" w:hAnsi="Inter"/>
          <w:sz w:val="22"/>
          <w:szCs w:val="22"/>
        </w:rPr>
        <w:t xml:space="preserve">33 Phenomena confirms that secondary placement / cross-sells can lift purchase probability by ~40%. But FACTUM’s coherence principle warns against competing stimuli. </w:t>
      </w:r>
      <w:r>
        <w:rPr>
          <w:rFonts w:ascii="Inter" w:cs="Inter" w:eastAsia="Inter" w:hAnsi="Inter"/>
          <w:b/>
          <w:bCs/>
          <w:sz w:val="22"/>
          <w:szCs w:val="22"/>
        </w:rPr>
        <w:t xml:space="preserve">Resolution: one prioritized upsell per cart view.</w:t>
      </w:r>
    </w:p>
    <w:p>
      <w:pPr>
        <w:pStyle w:val="ListParagraph"/>
        <w:numPr>
          <w:ilvl w:val="0"/>
          <w:numId w:val="2"/>
        </w:numPr>
        <w:spacing w:after="100"/>
      </w:pPr>
      <w:r>
        <w:rPr>
          <w:rFonts w:ascii="Inter" w:cs="Inter" w:eastAsia="Inter" w:hAnsi="Inter"/>
          <w:sz w:val="22"/>
          <w:szCs w:val="22"/>
        </w:rPr>
        <w:t xml:space="preserve">Cart with 1 tee: offer </w:t>
      </w:r>
      <w:r>
        <w:rPr>
          <w:rFonts w:ascii="Inter" w:cs="Inter" w:eastAsia="Inter" w:hAnsi="Inter"/>
          <w:b/>
          <w:bCs/>
          <w:sz w:val="22"/>
          <w:szCs w:val="22"/>
        </w:rPr>
        <w:t xml:space="preserve">gift bundle upgrade</w:t>
      </w:r>
      <w:r>
        <w:rPr>
          <w:rFonts w:ascii="Inter" w:cs="Inter" w:eastAsia="Inter" w:hAnsi="Inter"/>
          <w:sz w:val="22"/>
          <w:szCs w:val="22"/>
        </w:rPr>
        <w:t xml:space="preserve"> (“Add story card + gift wrap for +200 EGP”). One option, one button.</w:t>
      </w:r>
    </w:p>
    <w:p>
      <w:pPr>
        <w:pStyle w:val="ListParagraph"/>
        <w:numPr>
          <w:ilvl w:val="0"/>
          <w:numId w:val="2"/>
        </w:numPr>
        <w:spacing w:after="100"/>
      </w:pPr>
      <w:r>
        <w:rPr>
          <w:rFonts w:ascii="Inter" w:cs="Inter" w:eastAsia="Inter" w:hAnsi="Inter"/>
          <w:sz w:val="22"/>
          <w:szCs w:val="22"/>
        </w:rPr>
        <w:t xml:space="preserve">Cart with 2+ tees: offer </w:t>
      </w:r>
      <w:r>
        <w:rPr>
          <w:rFonts w:ascii="Inter" w:cs="Inter" w:eastAsia="Inter" w:hAnsi="Inter"/>
          <w:b/>
          <w:bCs/>
          <w:sz w:val="22"/>
          <w:szCs w:val="22"/>
        </w:rPr>
        <w:t xml:space="preserve">bundle discount</w:t>
      </w:r>
      <w:r>
        <w:rPr>
          <w:rFonts w:ascii="Inter" w:cs="Inter" w:eastAsia="Inter" w:hAnsi="Inter"/>
          <w:sz w:val="22"/>
          <w:szCs w:val="22"/>
        </w:rPr>
        <w:t xml:space="preserve"> (“Add a 3rd design and save 100 EGP”). One option, one button.</w:t>
      </w:r>
    </w:p>
    <w:p>
      <w:pPr>
        <w:pStyle w:val="ListParagraph"/>
        <w:numPr>
          <w:ilvl w:val="0"/>
          <w:numId w:val="2"/>
        </w:numPr>
        <w:spacing w:after="100"/>
      </w:pPr>
      <w:r>
        <w:rPr>
          <w:rFonts w:ascii="Inter" w:cs="Inter" w:eastAsia="Inter" w:hAnsi="Inter"/>
          <w:sz w:val="22"/>
          <w:szCs w:val="22"/>
        </w:rPr>
        <w:t xml:space="preserve">Never show more than one upsell module on the cart page. No “You might also like” grid competing with the checkout CTA.</w:t>
      </w:r>
    </w:p>
    <w:p>
      <w:r>
        <w:br w:type="page"/>
      </w:r>
    </w:p>
    <w:p>
      <w:pPr>
        <w:pStyle w:val="Heading1"/>
      </w:pPr>
      <w:r>
        <w:t xml:space="preserve">Section 5: Testing Culture</w:t>
      </w:r>
    </w:p>
    <w:p>
      <w:pPr>
        <w:spacing w:after="160"/>
      </w:pPr>
      <w:r>
        <w:rPr>
          <w:rFonts w:ascii="Inter" w:cs="Inter" w:eastAsia="Inter" w:hAnsi="Inter"/>
          <w:sz w:val="22"/>
          <w:szCs w:val="22"/>
        </w:rPr>
        <w:t xml:space="preserve">The single most important principle from the 9-source synthesis: </w:t>
      </w:r>
      <w:r>
        <w:rPr>
          <w:rFonts w:ascii="Inter" w:cs="Inter" w:eastAsia="Inter" w:hAnsi="Inter"/>
          <w:b/>
          <w:bCs/>
          <w:sz w:val="22"/>
          <w:szCs w:val="22"/>
        </w:rPr>
        <w:t xml:space="preserve">experiments over assumptions</w:t>
      </w:r>
      <w:r>
        <w:rPr>
          <w:rFonts w:ascii="Inter" w:cs="Inter" w:eastAsia="Inter" w:hAnsi="Inter"/>
          <w:sz w:val="22"/>
          <w:szCs w:val="22"/>
        </w:rPr>
        <w:t xml:space="preserve">. The 33 Phenomena book opens by noting that real store tests often contradicted marketing blog “best practices.” Every guideline in this document marked with “test” or “hypothesis” must be validated before it becomes permanent.</w:t>
      </w:r>
    </w:p>
    <w:p>
      <w:pPr>
        <w:pStyle w:val="Heading2"/>
      </w:pPr>
      <w:r>
        <w:t xml:space="preserve">What to A/B Test in the MVP (prioritized)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Test</w:t>
            </w:r>
          </w:p>
        </w:tc>
        <w:tc>
          <w:tcPr>
            <w:tcW w:type="dxa" w:w="3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Hypothesis</w:t>
            </w:r>
          </w:p>
        </w:tc>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Success Metric</w:t>
            </w:r>
          </w:p>
        </w:tc>
        <w:tc>
          <w:tcPr>
            <w:tcW w:type="dxa" w:w="19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Source</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Price anchor (649 vs 799 vs 899)</w:t>
            </w:r>
          </w:p>
        </w:tc>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799 converts at acceptable margin</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CM ≥ 120 EGP/unit after CAC</w:t>
            </w:r>
          </w:p>
        </w:tc>
        <w:tc>
          <w:tcPr>
            <w:tcW w:type="dxa" w:w="1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Market Research</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Navigation axis order (Vibe-first vs Occasion-first)</w:t>
            </w:r>
          </w:p>
        </w:tc>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Vibe-first matches mental model</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Browse-to-DM conversion rate</w:t>
            </w:r>
          </w:p>
        </w:tc>
        <w:tc>
          <w:tcPr>
            <w:tcW w:type="dxa" w:w="1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33 Phenomena congruence</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CTA text (“Add to Cart” vs “Get This Design”)</w:t>
            </w:r>
          </w:p>
        </w:tc>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Ownership language converts higher</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Add-to-cart rate</w:t>
            </w:r>
          </w:p>
        </w:tc>
        <w:tc>
          <w:tcPr>
            <w:tcW w:type="dxa" w:w="1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Miller SB7 success</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card: price visible vs hidden until click</w:t>
            </w:r>
          </w:p>
        </w:tc>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Price visible reduces bounces</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PLP-to-PDP click rate</w:t>
            </w:r>
          </w:p>
        </w:tc>
        <w:tc>
          <w:tcPr>
            <w:tcW w:type="dxa" w:w="1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Solberg Söilen clarity</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Checkout: multi-step vs single-page</w:t>
            </w:r>
          </w:p>
        </w:tc>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Multi-step builds trust for COD</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Checkout completion rate</w:t>
            </w:r>
          </w:p>
        </w:tc>
        <w:tc>
          <w:tcPr>
            <w:tcW w:type="dxa" w:w="1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Solberg Söilen Ch.9</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Trust strip position: above fold vs below gallery</w:t>
            </w:r>
          </w:p>
        </w:tc>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Above fold reduces “ask” in DMs</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DM question volume</w:t>
            </w:r>
          </w:p>
        </w:tc>
        <w:tc>
          <w:tcPr>
            <w:tcW w:type="dxa" w:w="1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Wirtz HMI</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Social proof format: customer photos vs text quotes</w:t>
            </w:r>
          </w:p>
        </w:tc>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Photos convert higher for fashion</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PDP add-to-cart rate</w:t>
            </w:r>
          </w:p>
        </w:tc>
        <w:tc>
          <w:tcPr>
            <w:tcW w:type="dxa" w:w="1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FACTUM authenticity</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Size guide: modal vs inline expandable</w:t>
            </w:r>
          </w:p>
        </w:tc>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Inline reduces exit rate</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Exchange/return rate</w:t>
            </w:r>
          </w:p>
        </w:tc>
        <w:tc>
          <w:tcPr>
            <w:tcW w:type="dxa" w:w="1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Green &amp; Brandon usability</w:t>
            </w:r>
          </w:p>
        </w:tc>
      </w:tr>
    </w:tbl>
    <w:p>
      <w:pPr>
        <w:spacing w:after="160"/>
      </w:pPr>
      <w:r>
        <w:rPr>
          <w:rFonts w:ascii="Inter" w:cs="Inter" w:eastAsia="Inter" w:hAnsi="Inter"/>
          <w:b/>
          <w:bCs/>
          <w:color w:val="2B7596"/>
          <w:sz w:val="20"/>
          <w:szCs w:val="20"/>
        </w:rPr>
        <w:t xml:space="preserve">[RULE]</w:t>
      </w:r>
      <w:r>
        <w:rPr>
          <w:rFonts w:ascii="Inter" w:cs="Inter" w:eastAsia="Inter" w:hAnsi="Inter"/>
          <w:sz w:val="22"/>
          <w:szCs w:val="22"/>
        </w:rPr>
        <w:t xml:space="preserve">  No A/B test ships without: (1) a written hypothesis, (2) a single primary metric, (3) a predetermined sample size (minimum 200 paid orders per variant for conversion tests), and (4) a decision rule (“if X, we ship variant B”). Tests without these are vanity experiments.</w:t>
      </w:r>
    </w:p>
    <w:p>
      <w:r>
        <w:br w:type="page"/>
      </w:r>
    </w:p>
    <w:p>
      <w:pPr>
        <w:pStyle w:val="Heading1"/>
      </w:pPr>
      <w:r>
        <w:t xml:space="preserve">Section 6: Trust Architecture (Wirtz HMI)</w:t>
      </w:r>
    </w:p>
    <w:p>
      <w:pPr>
        <w:spacing w:after="160"/>
      </w:pPr>
      <w:r>
        <w:rPr>
          <w:rFonts w:ascii="Inter" w:cs="Inter" w:eastAsia="Inter" w:hAnsi="Inter"/>
          <w:sz w:val="22"/>
          <w:szCs w:val="22"/>
        </w:rPr>
        <w:t xml:space="preserve">Wirtz identifies four interface success factors. The HORO guidelines addressed the first two (ease of use, personalization) but were </w:t>
      </w:r>
      <w:r>
        <w:rPr>
          <w:rFonts w:ascii="Inter" w:cs="Inter" w:eastAsia="Inter" w:hAnsi="Inter"/>
          <w:b/>
          <w:bCs/>
          <w:sz w:val="22"/>
          <w:szCs w:val="22"/>
        </w:rPr>
        <w:t xml:space="preserve">silent on the third and fourth</w:t>
      </w:r>
      <w:r>
        <w:rPr>
          <w:rFonts w:ascii="Inter" w:cs="Inter" w:eastAsia="Inter" w:hAnsi="Inter"/>
          <w:sz w:val="22"/>
          <w:szCs w:val="22"/>
        </w:rPr>
        <w:t xml:space="preserve"> (networking/integration and security/reliability). For a COD-first Egyptian e-commerce brand, these are not backend concerns—they are </w:t>
      </w:r>
      <w:r>
        <w:rPr>
          <w:rFonts w:ascii="Inter" w:cs="Inter" w:eastAsia="Inter" w:hAnsi="Inter"/>
          <w:b/>
          <w:bCs/>
          <w:sz w:val="22"/>
          <w:szCs w:val="22"/>
        </w:rPr>
        <w:t xml:space="preserve">visible trust signals</w:t>
      </w:r>
      <w:r>
        <w:rPr>
          <w:rFonts w:ascii="Inter" w:cs="Inter" w:eastAsia="Inter" w:hAnsi="Inter"/>
          <w:sz w:val="22"/>
          <w:szCs w:val="22"/>
        </w:rPr>
        <w:t xml:space="preserve">.</w:t>
      </w:r>
    </w:p>
    <w:p>
      <w:pPr>
        <w:pStyle w:val="Heading2"/>
      </w:pPr>
      <w:r>
        <w:t xml:space="preserve">HMI Success Factors Applied to HORO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Wirtz Factor</w:t>
            </w:r>
          </w:p>
        </w:tc>
        <w:tc>
          <w:tcPr>
            <w:tcW w:type="dxa" w:w="37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What It Means for HORO</w:t>
            </w:r>
          </w:p>
        </w:tc>
        <w:tc>
          <w:tcPr>
            <w:tcW w:type="dxa" w:w="3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Implementation</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 Ease of use</w:t>
            </w:r>
          </w:p>
        </w:tc>
        <w:tc>
          <w:tcPr>
            <w:tcW w:type="dxa" w:w="3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Intuitive navigation, cognitive ease, time advantage</w:t>
            </w:r>
          </w:p>
        </w:tc>
        <w:tc>
          <w:tcPr>
            <w:tcW w:type="dxa" w:w="3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Glassmorphism system, 3-axis nav, mobile-first design (covered in v2.0–2.1)</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 Personalization</w:t>
            </w:r>
          </w:p>
        </w:tc>
        <w:tc>
          <w:tcPr>
            <w:tcW w:type="dxa" w:w="3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User profiles, purchase history, preference memory</w:t>
            </w:r>
          </w:p>
        </w:tc>
        <w:tc>
          <w:tcPr>
            <w:tcW w:type="dxa" w:w="3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Bilingual toggle, remembering size selection, WhatsApp-based personal service (covered in v2.0)</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b/>
                <w:bCs/>
                <w:sz w:val="22"/>
                <w:szCs w:val="22"/>
              </w:rPr>
              <w:t xml:space="preserve">3. Integration</w:t>
            </w:r>
          </w:p>
        </w:tc>
        <w:tc>
          <w:tcPr>
            <w:tcW w:type="dxa" w:w="3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“Multiple functions linked in one coherent interface”—no seams between browse, cart, pay, track</w:t>
            </w:r>
          </w:p>
        </w:tc>
        <w:tc>
          <w:tcPr>
            <w:tcW w:type="dxa" w:w="3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Same design language in checkout as in PDP; order tracking inside WhatsApp not a separate portal; no redirect to external payment page if avoidable</w:t>
            </w:r>
          </w:p>
        </w:tc>
      </w:tr>
      <w:tr>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b/>
                <w:bCs/>
                <w:sz w:val="22"/>
                <w:szCs w:val="22"/>
              </w:rPr>
              <w:t xml:space="preserve">4. Security/reliability</w:t>
            </w:r>
          </w:p>
        </w:tc>
        <w:tc>
          <w:tcPr>
            <w:tcW w:type="dxa" w:w="3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Functional reliability, data security, performance stability, robustness</w:t>
            </w:r>
          </w:p>
        </w:tc>
        <w:tc>
          <w:tcPr>
            <w:tcW w:type="dxa" w:w="3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Page load &lt; 3s on Egyptian 4G; no broken images; SSL badge visible at checkout; Paymob trust mark; “Your data is safe” in Arabic near payment fields; 99.9% uptime (Vercel)</w:t>
            </w:r>
          </w:p>
        </w:tc>
      </w:tr>
    </w:tbl>
    <w:p>
      <w:pPr>
        <w:pStyle w:val="Heading1"/>
      </w:pPr>
      <w:r>
        <w:t xml:space="preserve">Section 7: Scarcity, Urgency &amp; Ethical Persuasion</w:t>
      </w:r>
    </w:p>
    <w:p>
      <w:pPr>
        <w:spacing w:after="160"/>
      </w:pPr>
      <w:r>
        <w:rPr>
          <w:rFonts w:ascii="Inter" w:cs="Inter" w:eastAsia="Inter" w:hAnsi="Inter"/>
          <w:sz w:val="22"/>
          <w:szCs w:val="22"/>
        </w:rPr>
        <w:t xml:space="preserve">The 33 Phenomena source provides critical nuance that the brand guidelines must codify: limited-time promotions online can </w:t>
      </w:r>
      <w:r>
        <w:rPr>
          <w:rFonts w:ascii="Inter" w:cs="Inter" w:eastAsia="Inter" w:hAnsi="Inter"/>
          <w:b/>
          <w:bCs/>
          <w:sz w:val="22"/>
          <w:szCs w:val="22"/>
        </w:rPr>
        <w:t xml:space="preserve">trigger persuasion knowledge and reduce intent</w:t>
      </w:r>
      <w:r>
        <w:rPr>
          <w:rFonts w:ascii="Inter" w:cs="Inter" w:eastAsia="Inter" w:hAnsi="Inter"/>
          <w:sz w:val="22"/>
          <w:szCs w:val="22"/>
        </w:rPr>
        <w:t xml:space="preserve"> unless a credible reason is given. Combined with Miller’s SB7 “stakes” element (what goes wrong if they don’t act), the rules are:</w:t>
      </w:r>
    </w:p>
    <w:p>
      <w:pPr>
        <w:pStyle w:val="ListParagraph"/>
        <w:numPr>
          <w:ilvl w:val="0"/>
          <w:numId w:val="2"/>
        </w:numPr>
        <w:spacing w:after="100"/>
      </w:pPr>
      <w:r>
        <w:rPr>
          <w:rFonts w:ascii="Inter" w:cs="Inter" w:eastAsia="Inter" w:hAnsi="Inter"/>
          <w:b/>
          <w:bCs/>
          <w:sz w:val="22"/>
          <w:szCs w:val="22"/>
        </w:rPr>
        <w:t xml:space="preserve">Truthful stock signals only. </w:t>
      </w:r>
      <w:r>
        <w:rPr>
          <w:rFonts w:ascii="Inter" w:cs="Inter" w:eastAsia="Inter" w:hAnsi="Inter"/>
          <w:sz w:val="22"/>
          <w:szCs w:val="22"/>
        </w:rPr>
        <w:t xml:space="preserve">“Only 3 left” is acceptable if the inventory count is real. Never fabricate scarcity.</w:t>
      </w:r>
    </w:p>
    <w:p>
      <w:pPr>
        <w:pStyle w:val="ListParagraph"/>
        <w:numPr>
          <w:ilvl w:val="0"/>
          <w:numId w:val="2"/>
        </w:numPr>
        <w:spacing w:after="100"/>
      </w:pPr>
      <w:r>
        <w:rPr>
          <w:rFonts w:ascii="Inter" w:cs="Inter" w:eastAsia="Inter" w:hAnsi="Inter"/>
          <w:b/>
          <w:bCs/>
          <w:sz w:val="22"/>
          <w:szCs w:val="22"/>
        </w:rPr>
        <w:t xml:space="preserve">Time-limited promos require a credible reason. </w:t>
      </w:r>
      <w:r>
        <w:rPr>
          <w:rFonts w:ascii="Inter" w:cs="Inter" w:eastAsia="Inter" w:hAnsi="Inter"/>
          <w:sz w:val="22"/>
          <w:szCs w:val="22"/>
        </w:rPr>
        <w:t xml:space="preserve">“Ramadan collection ends March 30” is credible (seasonal). “24-hour flash sale” without reason triggers skepticism. If running a deadline, explain why it exists.</w:t>
      </w:r>
    </w:p>
    <w:p>
      <w:pPr>
        <w:pStyle w:val="ListParagraph"/>
        <w:numPr>
          <w:ilvl w:val="0"/>
          <w:numId w:val="2"/>
        </w:numPr>
        <w:spacing w:after="100"/>
      </w:pPr>
      <w:r>
        <w:rPr>
          <w:rFonts w:ascii="Inter" w:cs="Inter" w:eastAsia="Inter" w:hAnsi="Inter"/>
          <w:b/>
          <w:bCs/>
          <w:sz w:val="22"/>
          <w:szCs w:val="22"/>
        </w:rPr>
        <w:t xml:space="preserve">Never use false urgency mechanics. </w:t>
      </w:r>
      <w:r>
        <w:rPr>
          <w:rFonts w:ascii="Inter" w:cs="Inter" w:eastAsia="Inter" w:hAnsi="Inter"/>
          <w:sz w:val="22"/>
          <w:szCs w:val="22"/>
        </w:rPr>
        <w:t xml:space="preserve">No fake countdown timers. No “5 people are viewing this right now” unless the number is real and the system actually tracks it.</w:t>
      </w:r>
    </w:p>
    <w:p>
      <w:pPr>
        <w:pStyle w:val="ListParagraph"/>
        <w:numPr>
          <w:ilvl w:val="0"/>
          <w:numId w:val="2"/>
        </w:numPr>
        <w:spacing w:after="100"/>
      </w:pPr>
      <w:r>
        <w:rPr>
          <w:rFonts w:ascii="Inter" w:cs="Inter" w:eastAsia="Inter" w:hAnsi="Inter"/>
          <w:b/>
          <w:bCs/>
          <w:sz w:val="22"/>
          <w:szCs w:val="22"/>
        </w:rPr>
        <w:t xml:space="preserve">SB7 stakes framing is about aspiration, not fear. </w:t>
      </w:r>
      <w:r>
        <w:rPr>
          <w:rFonts w:ascii="Inter" w:cs="Inter" w:eastAsia="Inter" w:hAnsi="Inter"/>
          <w:sz w:val="22"/>
          <w:szCs w:val="22"/>
        </w:rPr>
        <w:t xml:space="preserve">“Without HORO, you’re stuck in generic tees that say nothing” is honest positioning. “Buy now or you’ll miss out forever” is dark-pattern urgency. The difference: does the framing inform or manipulate?</w:t>
      </w:r>
    </w:p>
    <w:p>
      <w:pPr>
        <w:pStyle w:val="ListParagraph"/>
        <w:numPr>
          <w:ilvl w:val="0"/>
          <w:numId w:val="2"/>
        </w:numPr>
        <w:spacing w:after="100"/>
      </w:pPr>
      <w:r>
        <w:rPr>
          <w:rFonts w:ascii="Inter" w:cs="Inter" w:eastAsia="Inter" w:hAnsi="Inter"/>
          <w:b/>
          <w:bCs/>
          <w:sz w:val="22"/>
          <w:szCs w:val="22"/>
        </w:rPr>
        <w:t xml:space="preserve">Social proof must be verifiable. </w:t>
      </w:r>
      <w:r>
        <w:rPr>
          <w:rFonts w:ascii="Inter" w:cs="Inter" w:eastAsia="Inter" w:hAnsi="Inter"/>
          <w:sz w:val="22"/>
          <w:szCs w:val="22"/>
        </w:rPr>
        <w:t xml:space="preserve">“142 sold this month” is acceptable if tracked. “Bestseller” without criteria is empty. Use real customer photos with names (even first name + city is enough).</w:t>
      </w:r>
    </w:p>
    <w:p>
      <w:r>
        <w:br w:type="page"/>
      </w:r>
    </w:p>
    <w:p>
      <w:pPr>
        <w:pStyle w:val="Heading1"/>
      </w:pPr>
      <w:r>
        <w:t xml:space="preserve">Section 8: Accessibility Standard (WCAG 2.1 AA)</w:t>
      </w:r>
    </w:p>
    <w:p>
      <w:pPr>
        <w:spacing w:after="160"/>
      </w:pPr>
      <w:r>
        <w:rPr>
          <w:rFonts w:ascii="Inter" w:cs="Inter" w:eastAsia="Inter" w:hAnsi="Inter"/>
          <w:sz w:val="22"/>
          <w:szCs w:val="22"/>
        </w:rPr>
        <w:t xml:space="preserve">Green &amp; Brandon cite WCAG 2.0; Wasilewski cites WCAG principles broadly. For HORO, the implementation bar is </w:t>
      </w:r>
      <w:r>
        <w:rPr>
          <w:rFonts w:ascii="Inter" w:cs="Inter" w:eastAsia="Inter" w:hAnsi="Inter"/>
          <w:b/>
          <w:bCs/>
          <w:sz w:val="22"/>
          <w:szCs w:val="22"/>
        </w:rPr>
        <w:t xml:space="preserve">WCAG 2.1 AA</w:t>
      </w:r>
      <w:r>
        <w:rPr>
          <w:rFonts w:ascii="Inter" w:cs="Inter" w:eastAsia="Inter" w:hAnsi="Inter"/>
          <w:sz w:val="22"/>
          <w:szCs w:val="22"/>
        </w:rPr>
        <w:t xml:space="preserve">—the current standard for commercial web. This is not optional or “nice to have.” Wasilewski documents that purchase abandonment among users with disabilities is a measurable revenue loss.</w:t>
      </w:r>
    </w:p>
    <w:p>
      <w:pPr>
        <w:pStyle w:val="Heading2"/>
      </w:pPr>
      <w:r>
        <w:t xml:space="preserve">Accessibility Checklist (integrated into design QA)</w:t>
      </w:r>
    </w:p>
    <w:p>
      <w:pPr>
        <w:pStyle w:val="ListParagraph"/>
        <w:numPr>
          <w:ilvl w:val="0"/>
          <w:numId w:val="2"/>
        </w:numPr>
        <w:spacing w:after="100"/>
      </w:pPr>
      <w:r>
        <w:rPr>
          <w:rFonts w:ascii="Inter" w:cs="Inter" w:eastAsia="Inter" w:hAnsi="Inter"/>
          <w:sz w:val="22"/>
          <w:szCs w:val="22"/>
        </w:rPr>
        <w:t xml:space="preserve">All text passes 4.5:1 contrast on its background (AA body text). All large text (≥18px bold or ≥24px regular) passes 3:1. The v2.1 palette audit already enforces this.</w:t>
      </w:r>
    </w:p>
    <w:p>
      <w:pPr>
        <w:pStyle w:val="ListParagraph"/>
        <w:numPr>
          <w:ilvl w:val="0"/>
          <w:numId w:val="2"/>
        </w:numPr>
        <w:spacing w:after="100"/>
      </w:pPr>
      <w:r>
        <w:rPr>
          <w:rFonts w:ascii="Inter" w:cs="Inter" w:eastAsia="Inter" w:hAnsi="Inter"/>
          <w:sz w:val="22"/>
          <w:szCs w:val="22"/>
        </w:rPr>
        <w:t xml:space="preserve">All interactive elements have a visible focus indicator (2px ring, not just color change). Test with keyboard-only navigation.</w:t>
      </w:r>
    </w:p>
    <w:p>
      <w:pPr>
        <w:pStyle w:val="ListParagraph"/>
        <w:numPr>
          <w:ilvl w:val="0"/>
          <w:numId w:val="2"/>
        </w:numPr>
        <w:spacing w:after="100"/>
      </w:pPr>
      <w:r>
        <w:rPr>
          <w:rFonts w:ascii="Inter" w:cs="Inter" w:eastAsia="Inter" w:hAnsi="Inter"/>
          <w:sz w:val="22"/>
          <w:szCs w:val="22"/>
        </w:rPr>
        <w:t xml:space="preserve">All images have meaningful alt text. Product images: “HORO ‘The Weight of Light’ t-shirt, flat lay on linen surface”—not “product image.”</w:t>
      </w:r>
    </w:p>
    <w:p>
      <w:pPr>
        <w:pStyle w:val="ListParagraph"/>
        <w:numPr>
          <w:ilvl w:val="0"/>
          <w:numId w:val="2"/>
        </w:numPr>
        <w:spacing w:after="100"/>
      </w:pPr>
      <w:r>
        <w:rPr>
          <w:rFonts w:ascii="Inter" w:cs="Inter" w:eastAsia="Inter" w:hAnsi="Inter"/>
          <w:sz w:val="22"/>
          <w:szCs w:val="22"/>
        </w:rPr>
        <w:t xml:space="preserve">Forms have associated labels. Never use placeholder text as the only label (it disappears on focus).</w:t>
      </w:r>
    </w:p>
    <w:p>
      <w:pPr>
        <w:pStyle w:val="ListParagraph"/>
        <w:numPr>
          <w:ilvl w:val="0"/>
          <w:numId w:val="2"/>
        </w:numPr>
        <w:spacing w:after="100"/>
      </w:pPr>
      <w:r>
        <w:rPr>
          <w:rFonts w:ascii="Inter" w:cs="Inter" w:eastAsia="Inter" w:hAnsi="Inter"/>
          <w:sz w:val="22"/>
          <w:szCs w:val="22"/>
        </w:rPr>
        <w:t xml:space="preserve">Touch targets are minimum 48px on mobile. The v2.0 guidelines already specify this.</w:t>
      </w:r>
    </w:p>
    <w:p>
      <w:pPr>
        <w:pStyle w:val="ListParagraph"/>
        <w:numPr>
          <w:ilvl w:val="0"/>
          <w:numId w:val="2"/>
        </w:numPr>
        <w:spacing w:after="100"/>
      </w:pPr>
      <w:r>
        <w:rPr>
          <w:rFonts w:ascii="Inter" w:cs="Inter" w:eastAsia="Inter" w:hAnsi="Inter"/>
          <w:sz w:val="22"/>
          <w:szCs w:val="22"/>
        </w:rPr>
        <w:t xml:space="preserve">RTL layout (Arabic) tested on real devices, not just browser dev tools. Text alignment, icon direction, and glassmorphism border-radius all render correctly in both directions.</w:t>
      </w:r>
    </w:p>
    <w:p>
      <w:pPr>
        <w:pStyle w:val="ListParagraph"/>
        <w:numPr>
          <w:ilvl w:val="0"/>
          <w:numId w:val="2"/>
        </w:numPr>
        <w:spacing w:after="100"/>
      </w:pPr>
      <w:r>
        <w:rPr>
          <w:rFonts w:ascii="Inter" w:cs="Inter" w:eastAsia="Inter" w:hAnsi="Inter"/>
          <w:sz w:val="22"/>
          <w:szCs w:val="22"/>
        </w:rPr>
        <w:t xml:space="preserve">Animations respect prefers-reduced-motion. All GSAP and Motion animations check this media query and disable or simplify when active.</w:t>
      </w:r>
    </w:p>
    <w:p>
      <w:pPr>
        <w:pStyle w:val="ListParagraph"/>
        <w:numPr>
          <w:ilvl w:val="0"/>
          <w:numId w:val="2"/>
        </w:numPr>
        <w:spacing w:after="100"/>
      </w:pPr>
      <w:r>
        <w:rPr>
          <w:rFonts w:ascii="Inter" w:cs="Inter" w:eastAsia="Inter" w:hAnsi="Inter"/>
          <w:sz w:val="22"/>
          <w:szCs w:val="22"/>
        </w:rPr>
        <w:t xml:space="preserve">Color is never the only way to convey information. Size selector: selected state uses border + background + text color, not color alone.</w:t>
      </w:r>
    </w:p>
    <w:p>
      <w:pPr>
        <w:pStyle w:val="Heading1"/>
      </w:pPr>
      <w:r>
        <w:t xml:space="preserve">Section 9: Personalization Governance (Wasilewski)</w:t>
      </w:r>
    </w:p>
    <w:p>
      <w:pPr>
        <w:spacing w:after="160"/>
      </w:pPr>
      <w:r>
        <w:rPr>
          <w:rFonts w:ascii="Inter" w:cs="Inter" w:eastAsia="Inter" w:hAnsi="Inter"/>
          <w:sz w:val="22"/>
          <w:szCs w:val="22"/>
        </w:rPr>
        <w:t xml:space="preserve">The v2.0 guidelines define 3 buyer personas but do not specify how the website adapts to them. Wasilewski’s framework provides the governance layer: </w:t>
      </w:r>
      <w:r>
        <w:rPr>
          <w:rFonts w:ascii="Inter" w:cs="Inter" w:eastAsia="Inter" w:hAnsi="Inter"/>
          <w:b/>
          <w:bCs/>
          <w:sz w:val="22"/>
          <w:szCs w:val="22"/>
        </w:rPr>
        <w:t xml:space="preserve">prove value with split tests and KPIs before automating</w:t>
      </w:r>
      <w:r>
        <w:rPr>
          <w:rFonts w:ascii="Inter" w:cs="Inter" w:eastAsia="Inter" w:hAnsi="Inter"/>
          <w:sz w:val="22"/>
          <w:szCs w:val="22"/>
        </w:rPr>
        <w:t xml:space="preserve">. For the MVP:</w:t>
      </w:r>
    </w:p>
    <w:p>
      <w:pPr>
        <w:pStyle w:val="Heading2"/>
      </w:pPr>
      <w:r>
        <w:t xml:space="preserve">Personalization Maturity Roadmap for HORO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2400"/>
      </w:tblGrid>
      <w:tr>
        <w:tc>
          <w:tcPr>
            <w:tcW w:type="dxa" w:w="1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Phase</w:t>
            </w:r>
          </w:p>
        </w:tc>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Maturity Level</w:t>
            </w:r>
          </w:p>
        </w:tc>
        <w:tc>
          <w:tcPr>
            <w:tcW w:type="dxa" w:w="33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What Changes</w:t>
            </w:r>
          </w:p>
        </w:tc>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Governance</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MVP (Month 1–3)</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One to All</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Same experience for everyone. Focus on baseline conversion.</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No personalization. Measure baseline KPIs: conversion rate, AOV, cart abandonment, return rate.</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Post-MVP (Month 4–6)</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One to Many</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Rule-based: gift buyers see occasion-first navigation. Repeat buyers see “New since your last visit.”</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A/B split: variant vs default. Measure conversion lift per segment. No ML yet.</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Growth (Month 7–12)</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One to Some</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Behavioral: browsing patterns inform product card ordering. Size pre-selected from purchase history.</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Wasilewski KPI framework: compare subgroups on ABV, conversion, return rate. Privacy-first: tokenized IDs only.</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Scale (Year 2+)</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One to Few</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ML clustering for UI microchanges: search position, filter defaults, CTA copy per segment.</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Human review of ML recommendations before shipping. GDPR/cookie compliance. Accessibility as a first-class variant.</w:t>
            </w:r>
          </w:p>
        </w:tc>
      </w:tr>
    </w:tbl>
    <w:p>
      <w:pPr>
        <w:spacing w:after="160"/>
      </w:pPr>
      <w:r>
        <w:rPr>
          <w:rFonts w:ascii="Inter" w:cs="Inter" w:eastAsia="Inter" w:hAnsi="Inter"/>
          <w:b/>
          <w:bCs/>
          <w:color w:val="2B7596"/>
          <w:sz w:val="20"/>
          <w:szCs w:val="20"/>
        </w:rPr>
        <w:t xml:space="preserve">[RULE]</w:t>
      </w:r>
      <w:r>
        <w:rPr>
          <w:rFonts w:ascii="Inter" w:cs="Inter" w:eastAsia="Inter" w:hAnsi="Inter"/>
          <w:sz w:val="22"/>
          <w:szCs w:val="22"/>
        </w:rPr>
        <w:t xml:space="preserve">  Never personalize checkout. Cart and payment flow stays consistent for all users—stability and trust override personalization at the point of payment (Wirtz HMI factor 4).</w:t>
      </w:r>
    </w:p>
    <w:p>
      <w:r>
        <w:br w:type="page"/>
      </w:r>
    </w:p>
    <w:p>
      <w:pPr>
        <w:pStyle w:val="Heading1"/>
      </w:pPr>
      <w:r>
        <w:t xml:space="preserve">Section 10: Direct Response on Every Page</w:t>
      </w:r>
    </w:p>
    <w:p>
      <w:pPr>
        <w:spacing w:after="160"/>
      </w:pPr>
      <w:r>
        <w:rPr>
          <w:rFonts w:ascii="Inter" w:cs="Inter" w:eastAsia="Inter" w:hAnsi="Inter"/>
          <w:sz w:val="22"/>
          <w:szCs w:val="22"/>
        </w:rPr>
        <w:t xml:space="preserve">Solberg Söilen’s direct-response triad: every conversion-critical page needs </w:t>
      </w:r>
      <w:r>
        <w:rPr>
          <w:rFonts w:ascii="Inter" w:cs="Inter" w:eastAsia="Inter" w:hAnsi="Inter"/>
          <w:b/>
          <w:bCs/>
          <w:sz w:val="22"/>
          <w:szCs w:val="22"/>
        </w:rPr>
        <w:t xml:space="preserve">(1) an offer, (2) supporting information, and (3) a simple response mechanism</w:t>
      </w:r>
      <w:r>
        <w:rPr>
          <w:rFonts w:ascii="Inter" w:cs="Inter" w:eastAsia="Inter" w:hAnsi="Inter"/>
          <w:sz w:val="22"/>
          <w:szCs w:val="22"/>
        </w:rPr>
        <w:t xml:space="preserve">. If any of the three is missing or broken, the page fails—regardless of how beautiful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160"/>
        <w:gridCol w:w="2400"/>
      </w:tblGrid>
      <w:tr>
        <w:tc>
          <w:tcPr>
            <w:tcW w:type="dxa" w:w="1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Page</w:t>
            </w:r>
          </w:p>
        </w:tc>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1. Offer</w:t>
            </w:r>
          </w:p>
        </w:tc>
        <w:tc>
          <w:tcPr>
            <w:tcW w:type="dxa" w:w="31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2. Support Info</w:t>
            </w:r>
          </w:p>
        </w:tc>
        <w:tc>
          <w:tcPr>
            <w:tcW w:type="dxa" w:w="2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3. Response Mechanism</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Homepage</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Explore the collection (brand promise)</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Trust strip, customer stories, “Why HORO”</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Explore CTA → vibes page</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Collection</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Designs organized by vibe/occasion</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Filter, sort, artist credit, price visible</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Quick View or tap-to-PDP</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Detail</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This specific design at 799 EGP</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 images, size guide, fabric specs, artist bio, story</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Select size → Add to Cart</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Cart</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Your selected items + total</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Product thumbnail, size, exchange policy</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Proceed to Checkout</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Checkout</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Place your order</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Order summary with image, delivery date, COD option</w:t>
            </w:r>
          </w:p>
        </w:tc>
        <w:tc>
          <w:tcPr>
            <w:tcW w:type="dxa" w:w="2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Place Order button</w:t>
            </w:r>
          </w:p>
        </w:tc>
      </w:tr>
    </w:tbl>
    <w:p>
      <w:pPr>
        <w:spacing w:after="160"/>
      </w:pPr>
      <w:r>
        <w:rPr>
          <w:rFonts w:ascii="Inter" w:cs="Inter" w:eastAsia="Inter" w:hAnsi="Inter"/>
          <w:b/>
          <w:bCs/>
          <w:color w:val="876749"/>
          <w:sz w:val="20"/>
          <w:szCs w:val="20"/>
        </w:rPr>
        <w:t xml:space="preserve">[DIAGNOSTIC]</w:t>
      </w:r>
      <w:r>
        <w:rPr>
          <w:rFonts w:ascii="Inter" w:cs="Inter" w:eastAsia="Inter" w:hAnsi="Inter"/>
          <w:sz w:val="22"/>
          <w:szCs w:val="22"/>
        </w:rPr>
        <w:t xml:space="preserve">  If conversion drops on a specific page, check which of the three elements is weakest. Usually it’s the response mechanism (confusing CTA, broken flow) or missing support info (no size guide, no delivery estimate), not the offer itself.</w:t>
      </w:r>
    </w:p>
    <w:p>
      <w:r>
        <w:br w:type="page"/>
      </w:r>
    </w:p>
    <w:p>
      <w:pPr>
        <w:pStyle w:val="Heading1"/>
      </w:pPr>
      <w:r>
        <w:t xml:space="preserve">Reconciliation: Where UX Sources Appear to Contradict</w:t>
      </w:r>
    </w:p>
    <w:p>
      <w:pPr>
        <w:spacing w:after="160"/>
      </w:pPr>
      <w:r>
        <w:rPr>
          <w:rFonts w:ascii="Inter" w:cs="Inter" w:eastAsia="Inter" w:hAnsi="Inter"/>
          <w:sz w:val="22"/>
          <w:szCs w:val="22"/>
        </w:rPr>
        <w:t xml:space="preserve">These tensions are resolved in paired rules. When in doubt, the resolution column is the HORO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Tension</w:t>
            </w:r>
          </w:p>
        </w:tc>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Source A</w:t>
            </w:r>
          </w:p>
        </w:tc>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Source B</w:t>
            </w:r>
          </w:p>
        </w:tc>
        <w:tc>
          <w:tcPr>
            <w:tcW w:type="dxa" w:w="33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HORO Resolution</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Brand hero vs customer hero</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v2.0 narrative arc (HORO as guide)</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Miller SB7 (customer is hero)</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Aligned. Customer owns the goal. HORO provides vocabulary. Artist is enabler. Narrative arc = emotional map; SB7 = copy checklist.</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Fewer choices vs rich assortment</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Solberg (≤7 nav items)</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33 Phenomena (more SKUs sometimes wins)</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 vibes is a starting hypothesis. Test via card sorting. Within vibes, do not artificially limit products—add filtering and “HORO Picks” default.</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Noise vs cross-sells</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FACTUM (one clear signal)</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33 Phenomena (secondary placement lifts 40%)</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One primary story + one prioritized upsell per step. Never five competing modules on one screen.</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Stickiness vs fast checkout</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Wirtz (engagement time)</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Solberg (reduce abandonment)</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Short reliable path for purchase-intent sessions. Exploration/content may use longer engagement. Never inflate checkout steps for “engagement.”</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Personalization vs clarity</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Wasilewski (adaptive UI)</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FACTUM (coherence)</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Baseline clarity first. Personalize only after baseline is proven. Never personalize checkout.</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Urgency vs trust</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33 Phenomena (scarcity works)</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33 Phenomena (false urgency backfires)</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Truthful stock signals. Time-limited promos require credible reason. No fabricated scarcity.</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Primary CTA vs transitional CTA</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FACTUM (one action)</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Miller (direct + transitional)</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One primary commercial CTA on buy surfaces. Transitional CTAs secondary in hierarchy and on separate steps (email capture, quiz).</w:t>
            </w:r>
          </w:p>
        </w:tc>
      </w:tr>
      <w:tr>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Visual polish vs system reliability</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v2.0–2.1 (glassmorphism, animation)</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Wirtz HMI (security, performance)</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Beautiful AND stable. Page load &lt; 3s. No broken images. SSL visible. Glassmorphism degrades gracefully on slow devices.</w:t>
            </w:r>
          </w:p>
        </w:tc>
      </w:tr>
    </w:tbl>
    <w:p>
      <w:r>
        <w:br w:type="page"/>
      </w:r>
    </w:p>
    <w:p>
      <w:pPr>
        <w:pStyle w:val="Heading1"/>
      </w:pPr>
      <w:r>
        <w:t xml:space="preserve">Implementation Priority for v2.2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c>
          <w:tcPr>
            <w:tcW w:type="dxa" w:w="1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Phase</w:t>
            </w:r>
          </w:p>
        </w:tc>
        <w:tc>
          <w:tcPr>
            <w:tcW w:type="dxa" w:w="43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What to Implement</w:t>
            </w:r>
          </w:p>
        </w:tc>
        <w:tc>
          <w:tcPr>
            <w:tcW w:type="dxa" w:w="3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What to Test</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Pre-launch (Week 1–2)</w:t>
            </w:r>
          </w:p>
        </w:tc>
        <w:tc>
          <w:tcPr>
            <w:tcW w:type="dxa" w:w="4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SB7 copy audit on all page wireframes. Checkout checklist compliance. Accessibility baseline (contrast, focus, alt text).</w:t>
            </w:r>
          </w:p>
        </w:tc>
        <w:tc>
          <w:tcPr>
            <w:tcW w:type="dxa" w:w="3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Card sorting with 15–20 users to validate 3-axis navigation.</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Launch (Week 3–4)</w:t>
            </w:r>
          </w:p>
        </w:tc>
        <w:tc>
          <w:tcPr>
            <w:tcW w:type="dxa" w:w="4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Direct response triad on every page. 3-act screen structure. One upsell per cart. Trust strip above fold on PDP.</w:t>
            </w:r>
          </w:p>
        </w:tc>
        <w:tc>
          <w:tcPr>
            <w:tcW w:type="dxa" w:w="3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First-click test on homepage. Checkout completion rate baseline.</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Month 2–3</w:t>
            </w:r>
          </w:p>
        </w:tc>
        <w:tc>
          <w:tcPr>
            <w:tcW w:type="dxa" w:w="4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A/B tests: price, CTA text, trust strip position, social proof format. Scarcity signals (truthful stock counts).</w:t>
            </w:r>
          </w:p>
        </w:tc>
        <w:tc>
          <w:tcPr>
            <w:tcW w:type="dxa" w:w="3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200+ orders per variant minimum. Weekly KPI review.</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Month 4–6</w:t>
            </w:r>
          </w:p>
        </w:tc>
        <w:tc>
          <w:tcPr>
            <w:tcW w:type="dxa" w:w="4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Rule-based personalization (gift buyers → occasion-first). Size memory for repeat buyers. prefers-reduced-motion.</w:t>
            </w:r>
          </w:p>
        </w:tc>
        <w:tc>
          <w:tcPr>
            <w:tcW w:type="dxa" w:w="3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Split test variant vs default. Measure segment conversion lift.</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Month 7–12</w:t>
            </w:r>
          </w:p>
        </w:tc>
        <w:tc>
          <w:tcPr>
            <w:tcW w:type="dxa" w:w="4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Behavioral product ordering. ML microchanges (search, filter defaults). Accessibility variant for high-contrast needs.</w:t>
            </w:r>
          </w:p>
        </w:tc>
        <w:tc>
          <w:tcPr>
            <w:tcW w:type="dxa" w:w="3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Wasilewski KPI framework: subgroup comparison. Human review of ML outputs.</w:t>
            </w:r>
          </w:p>
        </w:tc>
      </w:tr>
    </w:tbl>
    <w:p>
      <w:pPr>
        <w:spacing w:after="80"/>
      </w:pPr>
    </w:p>
    <w:p>
      <w:pPr>
        <w:pBdr>
          <w:top w:val="single" w:color="CA4D34" w:sz="4" w:space="8"/>
        </w:pBdr>
        <w:spacing w:before="400" w:after="200"/>
      </w:pPr>
      <w:r>
        <w:rPr>
          <w:rFonts w:ascii="Space Grotesk" w:cs="Space Grotesk" w:eastAsia="Space Grotesk" w:hAnsi="Space Grotesk"/>
          <w:b/>
          <w:bCs/>
          <w:color w:val="1A1A1A"/>
          <w:sz w:val="32"/>
          <w:szCs w:val="32"/>
        </w:rPr>
        <w:t xml:space="preserve">The single-sentence test (unchanged)</w:t>
      </w:r>
    </w:p>
    <w:p>
      <w:pPr>
        <w:spacing w:before="200" w:after="120"/>
        <w:jc w:val="center"/>
      </w:pPr>
      <w:r>
        <w:rPr>
          <w:rFonts w:ascii="Space Grotesk" w:cs="Space Grotesk" w:eastAsia="Space Grotesk" w:hAnsi="Space Grotesk"/>
          <w:i/>
          <w:iCs/>
          <w:color w:val="CA4D34"/>
          <w:sz w:val="28"/>
          <w:szCs w:val="28"/>
        </w:rPr>
        <w:t xml:space="preserve">Does this help someone wear what they mean?</w:t>
      </w:r>
    </w:p>
    <w:p>
      <w:pPr>
        <w:spacing w:after="160"/>
      </w:pPr>
      <w:r>
        <w:rPr>
          <w:rFonts w:ascii="Inter" w:cs="Inter" w:eastAsia="Inter" w:hAnsi="Inter"/>
          <w:sz w:val="22"/>
          <w:szCs w:val="22"/>
        </w:rPr>
        <w:t xml:space="preserve">Now with the added test: </w:t>
      </w:r>
      <w:r>
        <w:rPr>
          <w:rFonts w:ascii="Inter" w:cs="Inter" w:eastAsia="Inter" w:hAnsi="Inter"/>
          <w:b/>
          <w:bCs/>
          <w:sz w:val="22"/>
          <w:szCs w:val="22"/>
        </w:rPr>
        <w:t xml:space="preserve">Is it clear, trustworthy, and testable?</w:t>
      </w:r>
    </w:p>
    <w:p>
      <w:pPr>
        <w:spacing w:after="80"/>
      </w:pPr>
    </w:p>
    <w:p>
      <w:pPr>
        <w:jc w:val="center"/>
      </w:pPr>
      <w:r>
        <w:rPr>
          <w:rFonts w:ascii="Space Grotesk" w:cs="Space Grotesk" w:eastAsia="Space Grotesk" w:hAnsi="Space Grotesk"/>
          <w:b/>
          <w:bCs/>
          <w:color w:val="1A1A1A"/>
          <w:sz w:val="24"/>
          <w:szCs w:val="24"/>
        </w:rPr>
        <w:t xml:space="preserve">HORO EGYPT — Wear What You Mean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FC5" w:sz="2" w:space="4"/>
      </w:pBdr>
      <w:jc w:val="center"/>
    </w:pPr>
    <w:r>
      <w:rPr>
        <w:rFonts w:ascii="Inter" w:cs="Inter" w:eastAsia="Inter" w:hAnsi="Inter"/>
        <w:color w:val="876749"/>
        <w:sz w:val="16"/>
        <w:szCs w:val="16"/>
      </w:rPr>
      <w:t xml:space="preserve">Page </w:t>
    </w:r>
    <w:r>
      <w:rPr>
        <w:rFonts w:ascii="Inter" w:cs="Inter" w:eastAsia="Inter" w:hAnsi="Inter"/>
        <w:color w:val="87674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4D34" w:sz="4" w:space="4"/>
      </w:pBdr>
    </w:pPr>
    <w:r>
      <w:rPr>
        <w:rFonts w:ascii="Inter" w:cs="Inter" w:eastAsia="Inter" w:hAnsi="Inter"/>
        <w:color w:val="876749"/>
        <w:sz w:val="16"/>
        <w:szCs w:val="16"/>
      </w:rPr>
      <w:t xml:space="preserve">HORO Egypt | Brand Guidelines v2.2 — UX Principles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Space Grotesk" w:cs="Space Grotesk" w:eastAsia="Space Grotesk" w:hAnsi="Space Grotesk"/>
      <w:b/>
      <w:bCs/>
      <w:color w:val="1A1A1A"/>
      <w:sz w:val="36"/>
      <w:szCs w:val="36"/>
    </w:rPr>
  </w:style>
  <w:style w:type="paragraph" w:styleId="Heading2">
    <w:name w:val="Heading 2"/>
    <w:basedOn w:val="Normal"/>
    <w:next w:val="Normal"/>
    <w:qFormat/>
    <w:pPr>
      <w:spacing w:before="280" w:after="160"/>
      <w:outlineLvl w:val="1"/>
    </w:pPr>
    <w:rPr>
      <w:rFonts w:ascii="Space Grotesk" w:cs="Space Grotesk" w:eastAsia="Space Grotesk" w:hAnsi="Space Grotesk"/>
      <w:b/>
      <w:bCs/>
      <w:color w:val="2B7596"/>
      <w:sz w:val="28"/>
      <w:szCs w:val="28"/>
    </w:rPr>
  </w:style>
  <w:style w:type="paragraph" w:styleId="Heading3">
    <w:name w:val="Heading 3"/>
    <w:basedOn w:val="Normal"/>
    <w:next w:val="Normal"/>
    <w:qFormat/>
    <w:pPr>
      <w:spacing w:before="200" w:after="120"/>
      <w:outlineLvl w:val="2"/>
    </w:pPr>
    <w:rPr>
      <w:rFonts w:ascii="Space Grotesk" w:cs="Space Grotesk" w:eastAsia="Space Grotesk" w:hAnsi="Space Grotesk"/>
      <w:b/>
      <w:bCs/>
      <w:color w:val="2C2A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2026-03-21T11:36:01.069Z</dcterms:created>
  <dcterms:modified xsi:type="dcterms:W3CDTF">2026-03-21T11:36:01.070Z</dcterms:modified>
</cp:coreProperties>
</file>

<file path=docProps/custom.xml><?xml version="1.0" encoding="utf-8"?>
<Properties xmlns="http://schemas.openxmlformats.org/officeDocument/2006/custom-properties" xmlns:vt="http://schemas.openxmlformats.org/officeDocument/2006/docPropsVTypes"/>
</file>