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jc w:val="left"/>
      </w:pPr>
      <w:r>
        <w:rPr>
          <w:rFonts w:ascii="Arial" w:cs="Arial" w:eastAsia="Arial" w:hAnsi="Arial"/>
          <w:b/>
          <w:bCs/>
          <w:i w:val="false"/>
          <w:iCs w:val="false"/>
          <w:color w:val="666666"/>
          <w:sz w:val="12"/>
          <w:szCs w:val="12"/>
        </w:rPr>
        <w:t xml:space="preserve">HORO BRAND CONCEPT</w:t>
      </w:r>
    </w:p>
    <w:p>
      <w:pPr>
        <w:spacing w:before="80" w:after="0"/>
        <w:jc w:val="left"/>
      </w:pPr>
      <w:r>
        <w:rPr>
          <w:rFonts w:ascii="Arial" w:cs="Arial" w:eastAsia="Arial" w:hAnsi="Arial"/>
          <w:b/>
          <w:bCs/>
          <w:color w:val="1A1A1A"/>
          <w:sz w:val="56"/>
          <w:szCs w:val="56"/>
        </w:rPr>
        <w:t xml:space="preserve">Website Review</w:t>
      </w:r>
    </w:p>
    <w:p>
      <w:pPr>
        <w:spacing w:before="40" w:after="0"/>
        <w:jc w:val="left"/>
      </w:pPr>
      <w:r>
        <w:rPr>
          <w:rFonts w:ascii="Arial" w:cs="Arial" w:eastAsia="Arial" w:hAnsi="Arial"/>
          <w:color w:val="C4302B"/>
          <w:sz w:val="36"/>
          <w:szCs w:val="36"/>
        </w:rPr>
        <w:t xml:space="preserve">in Light of FACTUM 25 Research</w:t>
      </w:r>
    </w:p>
    <w:p>
      <w:pPr>
        <w:spacing w:before="60" w:after="0"/>
        <w:jc w:val="left"/>
      </w:pPr>
      <w:r>
        <w:rPr>
          <w:rFonts w:ascii="Arial" w:cs="Arial" w:eastAsia="Arial" w:hAnsi="Arial"/>
          <w:b w:val="false"/>
          <w:bCs w:val="false"/>
          <w:i/>
          <w:iCs/>
          <w:color w:val="666666"/>
          <w:sz w:val="22"/>
          <w:szCs w:val="22"/>
        </w:rPr>
        <w:t xml:space="preserve">Fashion Communication in the Digital Age</w:t>
      </w:r>
    </w:p>
    <w:p>
      <w:pPr>
        <w:spacing w:before="20" w:after="0"/>
        <w:jc w:val="left"/>
      </w:pPr>
      <w:r>
        <w:rPr>
          <w:rFonts w:ascii="Arial" w:cs="Arial" w:eastAsia="Arial" w:hAnsi="Arial"/>
          <w:b w:val="false"/>
          <w:bCs w:val="false"/>
          <w:i w:val="false"/>
          <w:iCs w:val="false"/>
          <w:color w:val="666666"/>
          <w:sz w:val="20"/>
          <w:szCs w:val="20"/>
        </w:rPr>
        <w:t xml:space="preserve">Proceedings of the FACTUM 25 Conference, Stockholm, 2025</w:t>
      </w:r>
    </w:p>
    <w:p>
      <w:pPr>
        <w:pBdr>
          <w:bottom w:val="single" w:color="DDDDDD" w:sz="2" w:space="1"/>
        </w:pBdr>
        <w:spacing w:before="120" w:after="120"/>
      </w:pPr>
      <w:r>
        <w:rPr>
          <w:rFonts w:ascii="Arial" w:cs="Arial" w:eastAsia="Arial" w:hAnsi="Arial"/>
          <w:b w:val="false"/>
          <w:bCs w:val="false"/>
          <w:i w:val="false"/>
          <w:iCs w:val="false"/>
          <w:color w:val="1A1A1A"/>
          <w:sz w:val="22"/>
          <w:szCs w:val="22"/>
        </w:rPr>
        <w:t xml:space="preserve"/>
      </w:r>
    </w:p>
    <w:p>
      <w:pPr>
        <w:spacing w:before="40" w:after="160"/>
      </w:pPr>
      <w:r>
        <w:rPr>
          <w:rFonts w:ascii="Arial" w:cs="Arial" w:eastAsia="Arial" w:hAnsi="Arial"/>
          <w:b/>
          <w:bCs/>
          <w:i w:val="false"/>
          <w:iCs w:val="false"/>
          <w:color w:val="1A1A1A"/>
          <w:sz w:val="20"/>
          <w:szCs w:val="20"/>
        </w:rPr>
        <w:t xml:space="preserve">Reviewed site:  </w:t>
      </w:r>
      <w:r>
        <w:rPr>
          <w:rFonts w:ascii="Arial" w:cs="Arial" w:eastAsia="Arial" w:hAnsi="Arial"/>
          <w:b w:val="false"/>
          <w:bCs w:val="false"/>
          <w:i w:val="false"/>
          <w:iCs w:val="false"/>
          <w:color w:val="C4302B"/>
          <w:sz w:val="20"/>
          <w:szCs w:val="20"/>
        </w:rPr>
        <w:t xml:space="preserve">horo-fashion.vercel.app</w:t>
      </w:r>
      <w:r>
        <w:rPr>
          <w:rFonts w:ascii="Arial" w:cs="Arial" w:eastAsia="Arial" w:hAnsi="Arial"/>
          <w:b w:val="false"/>
          <w:bCs w:val="false"/>
          <w:i w:val="false"/>
          <w:iCs w:val="false"/>
          <w:color w:val="666666"/>
          <w:sz w:val="18"/>
          <w:szCs w:val="18"/>
        </w:rPr>
        <w:t xml:space="preserve">   |   Framework: Springer Proceedings in Business &amp; Economics, 2026</w:t>
      </w:r>
    </w:p>
    <w:p>
      <w:r>
        <w:br w:type="page"/>
      </w:r>
    </w:p>
    <w:p>
      <w:pPr>
        <w:pStyle w:val="Heading1"/>
        <w:pBdr>
          <w:bottom w:val="single" w:color="C4302B" w:sz="6" w:space="4"/>
        </w:pBdr>
        <w:spacing w:before="300" w:after="120"/>
      </w:pPr>
      <w:r>
        <w:rPr>
          <w:rFonts w:ascii="Arial" w:cs="Arial" w:eastAsia="Arial" w:hAnsi="Arial"/>
          <w:b/>
          <w:bCs/>
          <w:color w:val="1A1A1A"/>
          <w:sz w:val="32"/>
          <w:szCs w:val="32"/>
        </w:rPr>
        <w:t xml:space="preserve">Executive Summary</w:t>
      </w:r>
    </w:p>
    <w:p>
      <w:pPr>
        <w:spacing w:before="60" w:after="80"/>
        <w:jc w:val="both"/>
      </w:pPr>
      <w:r>
        <w:rPr>
          <w:rFonts w:ascii="Arial" w:cs="Arial" w:eastAsia="Arial" w:hAnsi="Arial"/>
          <w:b w:val="false"/>
          <w:bCs w:val="false"/>
          <w:i w:val="false"/>
          <w:iCs w:val="false"/>
          <w:color w:val="1A1A1A"/>
          <w:sz w:val="22"/>
          <w:szCs w:val="22"/>
        </w:rPr>
        <w:t xml:space="preserve">HORO enters the Egyptian apparel market with an artist-led, identity-expression positioning that is academically well-timed. The FACTUM 25 proceedings document a global convergence on exactly this territory: fashion as layered storytelling, clothing as a semiotic identity-construction system, and the artist-as-collaborator model as a key differentiator in digital commerce. The concept is sound. The execution on the website, however, frequently contradicts the very research principles that would make it defensible.</w:t>
      </w:r>
    </w:p>
    <w:p>
      <w:pPr>
        <w:spacing w:before="80" w:after="80"/>
      </w:pPr>
    </w:p>
    <w:p>
      <w:pPr>
        <w:spacing w:before="60" w:after="80"/>
        <w:jc w:val="both"/>
      </w:pPr>
      <w:r>
        <w:rPr>
          <w:rFonts w:ascii="Arial" w:cs="Arial" w:eastAsia="Arial" w:hAnsi="Arial"/>
          <w:b w:val="false"/>
          <w:bCs w:val="false"/>
          <w:i w:val="false"/>
          <w:iCs w:val="false"/>
          <w:color w:val="1A1A1A"/>
          <w:sz w:val="22"/>
          <w:szCs w:val="22"/>
        </w:rPr>
        <w:t xml:space="preserve">This review maps the HORO website against six core academic frameworks from the FACTUM 25 proceedings:</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The Fashion Palimpsest (Linfante, 2026) – multi-layered, continuous brand storytelling</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Brand Aesthetics &amp; Semiotics (Rizzi &amp; Vandi, 2026; Barthes framework) – sign systems and visual consistency</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Authenticity &amp; Maker Narrative (Cross &amp; Steed, 2026 on Harris Tweed) – craft provenance as premium marker</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Identity Construction via Fashion (Ledendal, 2026; Peng, 2026) – clothing as self-expression medium</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Mediatization &amp; Social-Native Communication (Linfante, 2026; Sand, 2026) – fashion designed for 1080px</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Community Building through Long-Form Content (Gargoles &amp; Hiljding, 2026 – Nude Project case)</w:t>
      </w:r>
    </w:p>
    <w:p>
      <w:pPr>
        <w:spacing w:before="100" w:after="80"/>
      </w:pPr>
    </w:p>
    <w:p>
      <w:pPr>
        <w:spacing w:before="0" w:after="80"/>
      </w:pPr>
      <w:r>
        <w:rPr>
          <w:rFonts w:ascii="Arial" w:cs="Arial" w:eastAsia="Arial" w:hAnsi="Arial"/>
          <w:b/>
          <w:bCs/>
          <w:i w:val="false"/>
          <w:iCs w:val="false"/>
          <w:color w:val="1A1A1A"/>
          <w:sz w:val="24"/>
          <w:szCs w:val="24"/>
        </w:rPr>
        <w:t xml:space="preserve">Overall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760"/>
        <w:gridCol w:w="5000"/>
      </w:tblGrid>
      <w:tr>
        <w:trPr>
          <w:tblHeader/>
        </w:trPr>
        <w:tc>
          <w:tcPr>
            <w:tcW w:type="dxa" w:w="36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pPr>
              <w:jc w:val="left"/>
            </w:pPr>
            <w:r>
              <w:rPr>
                <w:rFonts w:ascii="Arial" w:cs="Arial" w:eastAsia="Arial" w:hAnsi="Arial"/>
                <w:b/>
                <w:bCs/>
                <w:i w:val="false"/>
                <w:iCs w:val="false"/>
                <w:color w:val="FFFFFF"/>
                <w:sz w:val="20"/>
                <w:szCs w:val="20"/>
              </w:rPr>
              <w:t xml:space="preserve">Framework Dimension</w:t>
            </w:r>
          </w:p>
        </w:tc>
        <w:tc>
          <w:tcPr>
            <w:tcW w:type="dxa" w:w="7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pPr>
              <w:jc w:val="left"/>
            </w:pPr>
            <w:r>
              <w:rPr>
                <w:rFonts w:ascii="Arial" w:cs="Arial" w:eastAsia="Arial" w:hAnsi="Arial"/>
                <w:b/>
                <w:bCs/>
                <w:i w:val="false"/>
                <w:iCs w:val="false"/>
                <w:color w:val="FFFFFF"/>
                <w:sz w:val="20"/>
                <w:szCs w:val="20"/>
              </w:rPr>
              <w:t xml:space="preserve">Score</w:t>
            </w:r>
          </w:p>
        </w:tc>
        <w:tc>
          <w:tcPr>
            <w:tcW w:type="dxa" w:w="5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pPr>
              <w:jc w:val="left"/>
            </w:pPr>
            <w:r>
              <w:rPr>
                <w:rFonts w:ascii="Arial" w:cs="Arial" w:eastAsia="Arial" w:hAnsi="Arial"/>
                <w:b/>
                <w:bCs/>
                <w:i w:val="false"/>
                <w:iCs w:val="false"/>
                <w:color w:val="FFFFFF"/>
                <w:sz w:val="20"/>
                <w:szCs w:val="20"/>
              </w:rPr>
              <w:t xml:space="preserve">Key Finding</w:t>
            </w:r>
          </w:p>
        </w:tc>
      </w:tr>
      <w:tr>
        <w:tc>
          <w:tcPr>
            <w:tcW w:type="dxa" w:w="3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bCs/>
                <w:i w:val="false"/>
                <w:iCs w:val="false"/>
                <w:color w:val="1A1A1A"/>
                <w:sz w:val="20"/>
                <w:szCs w:val="20"/>
              </w:rPr>
              <w:t xml:space="preserve">Concept Clarity &amp; Positioning</w:t>
            </w:r>
          </w:p>
        </w:tc>
        <w:tc>
          <w:tcPr>
            <w:tcW w:type="dxa" w:w="760"/>
            <w:tcBorders>
              <w:top w:val="single" w:color="DDDDDD" w:sz="1"/>
              <w:left w:val="single" w:color="DDDDDD" w:sz="1"/>
              <w:bottom w:val="single" w:color="DDDDDD" w:sz="1"/>
              <w:right w:val="single" w:color="DDDDDD" w:sz="1"/>
            </w:tcBorders>
            <w:shd w:fill="F8F8F8" w:val="clear"/>
            <w:tcMar>
              <w:top w:type="dxa" w:w="80"/>
              <w:left w:type="dxa" w:w="80"/>
              <w:bottom w:type="dxa" w:w="80"/>
              <w:right w:type="dxa" w:w="80"/>
            </w:tcMar>
            <w:vAlign w:val="center"/>
          </w:tcPr>
          <w:p>
            <w:pPr>
              <w:jc w:val="center"/>
            </w:pPr>
            <w:r>
              <w:rPr>
                <w:rFonts w:ascii="Arial" w:cs="Arial" w:eastAsia="Arial" w:hAnsi="Arial"/>
                <w:b/>
                <w:bCs/>
                <w:i w:val="false"/>
                <w:iCs w:val="false"/>
                <w:color w:val="2E7D32"/>
                <w:sz w:val="22"/>
                <w:szCs w:val="22"/>
              </w:rPr>
              <w:t xml:space="preserve">8/10</w:t>
            </w:r>
          </w:p>
        </w:tc>
        <w:tc>
          <w:tcPr>
            <w:tcW w:type="dxa" w:w="5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val="false"/>
                <w:iCs w:val="false"/>
                <w:color w:val="333333"/>
                <w:sz w:val="20"/>
                <w:szCs w:val="20"/>
              </w:rPr>
              <w:t xml:space="preserve">Wearable-art frame is strong and well-timed</w:t>
            </w:r>
          </w:p>
        </w:tc>
      </w:tr>
      <w:tr>
        <w:tc>
          <w:tcPr>
            <w:tcW w:type="dxa" w:w="3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bCs/>
                <w:i w:val="false"/>
                <w:iCs w:val="false"/>
                <w:color w:val="1A1A1A"/>
                <w:sz w:val="20"/>
                <w:szCs w:val="20"/>
              </w:rPr>
              <w:t xml:space="preserve">Brand Semiotics &amp; Visual Consistency</w:t>
            </w:r>
          </w:p>
        </w:tc>
        <w:tc>
          <w:tcPr>
            <w:tcW w:type="dxa" w:w="760"/>
            <w:tcBorders>
              <w:top w:val="single" w:color="DDDDDD" w:sz="1"/>
              <w:left w:val="single" w:color="DDDDDD" w:sz="1"/>
              <w:bottom w:val="single" w:color="DDDDDD" w:sz="1"/>
              <w:right w:val="single" w:color="DDDDDD" w:sz="1"/>
            </w:tcBorders>
            <w:shd w:fill="F8F8F8" w:val="clear"/>
            <w:tcMar>
              <w:top w:type="dxa" w:w="80"/>
              <w:left w:type="dxa" w:w="80"/>
              <w:bottom w:type="dxa" w:w="80"/>
              <w:right w:type="dxa" w:w="80"/>
            </w:tcMar>
            <w:vAlign w:val="center"/>
          </w:tcPr>
          <w:p>
            <w:pPr>
              <w:jc w:val="center"/>
            </w:pPr>
            <w:r>
              <w:rPr>
                <w:rFonts w:ascii="Arial" w:cs="Arial" w:eastAsia="Arial" w:hAnsi="Arial"/>
                <w:b/>
                <w:bCs/>
                <w:i w:val="false"/>
                <w:iCs w:val="false"/>
                <w:color w:val="B71C1C"/>
                <w:sz w:val="22"/>
                <w:szCs w:val="22"/>
              </w:rPr>
              <w:t xml:space="preserve">3/10</w:t>
            </w:r>
          </w:p>
        </w:tc>
        <w:tc>
          <w:tcPr>
            <w:tcW w:type="dxa" w:w="5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val="false"/>
                <w:iCs w:val="false"/>
                <w:color w:val="333333"/>
                <w:sz w:val="20"/>
                <w:szCs w:val="20"/>
              </w:rPr>
              <w:t xml:space="preserve">Stock photos destroy the sign system entirely</w:t>
            </w:r>
          </w:p>
        </w:tc>
      </w:tr>
      <w:tr>
        <w:tc>
          <w:tcPr>
            <w:tcW w:type="dxa" w:w="3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bCs/>
                <w:i w:val="false"/>
                <w:iCs w:val="false"/>
                <w:color w:val="1A1A1A"/>
                <w:sz w:val="20"/>
                <w:szCs w:val="20"/>
              </w:rPr>
              <w:t xml:space="preserve">Fashion Palimpsest (Storytelling Arc)</w:t>
            </w:r>
          </w:p>
        </w:tc>
        <w:tc>
          <w:tcPr>
            <w:tcW w:type="dxa" w:w="760"/>
            <w:tcBorders>
              <w:top w:val="single" w:color="DDDDDD" w:sz="1"/>
              <w:left w:val="single" w:color="DDDDDD" w:sz="1"/>
              <w:bottom w:val="single" w:color="DDDDDD" w:sz="1"/>
              <w:right w:val="single" w:color="DDDDDD" w:sz="1"/>
            </w:tcBorders>
            <w:shd w:fill="F8F8F8" w:val="clear"/>
            <w:tcMar>
              <w:top w:type="dxa" w:w="80"/>
              <w:left w:type="dxa" w:w="80"/>
              <w:bottom w:type="dxa" w:w="80"/>
              <w:right w:type="dxa" w:w="80"/>
            </w:tcMar>
            <w:vAlign w:val="center"/>
          </w:tcPr>
          <w:p>
            <w:pPr>
              <w:jc w:val="center"/>
            </w:pPr>
            <w:r>
              <w:rPr>
                <w:rFonts w:ascii="Arial" w:cs="Arial" w:eastAsia="Arial" w:hAnsi="Arial"/>
                <w:b/>
                <w:bCs/>
                <w:i w:val="false"/>
                <w:iCs w:val="false"/>
                <w:color w:val="B71C1C"/>
                <w:sz w:val="22"/>
                <w:szCs w:val="22"/>
              </w:rPr>
              <w:t xml:space="preserve">4/10</w:t>
            </w:r>
          </w:p>
        </w:tc>
        <w:tc>
          <w:tcPr>
            <w:tcW w:type="dxa" w:w="5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val="false"/>
                <w:iCs w:val="false"/>
                <w:color w:val="333333"/>
                <w:sz w:val="20"/>
                <w:szCs w:val="20"/>
              </w:rPr>
              <w:t xml:space="preserve">Act I/II/III scaffolding exists; zero content</w:t>
            </w:r>
          </w:p>
        </w:tc>
      </w:tr>
      <w:tr>
        <w:tc>
          <w:tcPr>
            <w:tcW w:type="dxa" w:w="3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bCs/>
                <w:i w:val="false"/>
                <w:iCs w:val="false"/>
                <w:color w:val="1A1A1A"/>
                <w:sz w:val="20"/>
                <w:szCs w:val="20"/>
              </w:rPr>
              <w:t xml:space="preserve">Maker/Artist Authenticity</w:t>
            </w:r>
          </w:p>
        </w:tc>
        <w:tc>
          <w:tcPr>
            <w:tcW w:type="dxa" w:w="760"/>
            <w:tcBorders>
              <w:top w:val="single" w:color="DDDDDD" w:sz="1"/>
              <w:left w:val="single" w:color="DDDDDD" w:sz="1"/>
              <w:bottom w:val="single" w:color="DDDDDD" w:sz="1"/>
              <w:right w:val="single" w:color="DDDDDD" w:sz="1"/>
            </w:tcBorders>
            <w:shd w:fill="F8F8F8" w:val="clear"/>
            <w:tcMar>
              <w:top w:type="dxa" w:w="80"/>
              <w:left w:type="dxa" w:w="80"/>
              <w:bottom w:type="dxa" w:w="80"/>
              <w:right w:type="dxa" w:w="80"/>
            </w:tcMar>
            <w:vAlign w:val="center"/>
          </w:tcPr>
          <w:p>
            <w:pPr>
              <w:jc w:val="center"/>
            </w:pPr>
            <w:r>
              <w:rPr>
                <w:rFonts w:ascii="Arial" w:cs="Arial" w:eastAsia="Arial" w:hAnsi="Arial"/>
                <w:b/>
                <w:bCs/>
                <w:i w:val="false"/>
                <w:iCs w:val="false"/>
                <w:color w:val="B71C1C"/>
                <w:sz w:val="22"/>
                <w:szCs w:val="22"/>
              </w:rPr>
              <w:t xml:space="preserve">4/10</w:t>
            </w:r>
          </w:p>
        </w:tc>
        <w:tc>
          <w:tcPr>
            <w:tcW w:type="dxa" w:w="5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val="false"/>
                <w:iCs w:val="false"/>
                <w:color w:val="333333"/>
                <w:sz w:val="20"/>
                <w:szCs w:val="20"/>
              </w:rPr>
              <w:t xml:space="preserve">3 artist profiles, no real depth or proof</w:t>
            </w:r>
          </w:p>
        </w:tc>
      </w:tr>
      <w:tr>
        <w:tc>
          <w:tcPr>
            <w:tcW w:type="dxa" w:w="3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bCs/>
                <w:i w:val="false"/>
                <w:iCs w:val="false"/>
                <w:color w:val="1A1A1A"/>
                <w:sz w:val="20"/>
                <w:szCs w:val="20"/>
              </w:rPr>
              <w:t xml:space="preserve">Identity Construction Enablement</w:t>
            </w:r>
          </w:p>
        </w:tc>
        <w:tc>
          <w:tcPr>
            <w:tcW w:type="dxa" w:w="760"/>
            <w:tcBorders>
              <w:top w:val="single" w:color="DDDDDD" w:sz="1"/>
              <w:left w:val="single" w:color="DDDDDD" w:sz="1"/>
              <w:bottom w:val="single" w:color="DDDDDD" w:sz="1"/>
              <w:right w:val="single" w:color="DDDDDD" w:sz="1"/>
            </w:tcBorders>
            <w:shd w:fill="F8F8F8" w:val="clear"/>
            <w:tcMar>
              <w:top w:type="dxa" w:w="80"/>
              <w:left w:type="dxa" w:w="80"/>
              <w:bottom w:type="dxa" w:w="80"/>
              <w:right w:type="dxa" w:w="80"/>
            </w:tcMar>
            <w:vAlign w:val="center"/>
          </w:tcPr>
          <w:p>
            <w:pPr>
              <w:jc w:val="center"/>
            </w:pPr>
            <w:r>
              <w:rPr>
                <w:rFonts w:ascii="Arial" w:cs="Arial" w:eastAsia="Arial" w:hAnsi="Arial"/>
                <w:b/>
                <w:bCs/>
                <w:i w:val="false"/>
                <w:iCs w:val="false"/>
                <w:color w:val="2E7D32"/>
                <w:sz w:val="22"/>
                <w:szCs w:val="22"/>
              </w:rPr>
              <w:t xml:space="preserve">7/10</w:t>
            </w:r>
          </w:p>
        </w:tc>
        <w:tc>
          <w:tcPr>
            <w:tcW w:type="dxa" w:w="5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val="false"/>
                <w:iCs w:val="false"/>
                <w:color w:val="333333"/>
                <w:sz w:val="20"/>
                <w:szCs w:val="20"/>
              </w:rPr>
              <w:t xml:space="preserve">Theme navigation directly maps to consumer self-expression</w:t>
            </w:r>
          </w:p>
        </w:tc>
      </w:tr>
      <w:tr>
        <w:tc>
          <w:tcPr>
            <w:tcW w:type="dxa" w:w="3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bCs/>
                <w:i w:val="false"/>
                <w:iCs w:val="false"/>
                <w:color w:val="1A1A1A"/>
                <w:sz w:val="20"/>
                <w:szCs w:val="20"/>
              </w:rPr>
              <w:t xml:space="preserve">Social-Native / Mediatized Communication</w:t>
            </w:r>
          </w:p>
        </w:tc>
        <w:tc>
          <w:tcPr>
            <w:tcW w:type="dxa" w:w="760"/>
            <w:tcBorders>
              <w:top w:val="single" w:color="DDDDDD" w:sz="1"/>
              <w:left w:val="single" w:color="DDDDDD" w:sz="1"/>
              <w:bottom w:val="single" w:color="DDDDDD" w:sz="1"/>
              <w:right w:val="single" w:color="DDDDDD" w:sz="1"/>
            </w:tcBorders>
            <w:shd w:fill="F8F8F8" w:val="clear"/>
            <w:tcMar>
              <w:top w:type="dxa" w:w="80"/>
              <w:left w:type="dxa" w:w="80"/>
              <w:bottom w:type="dxa" w:w="80"/>
              <w:right w:type="dxa" w:w="80"/>
            </w:tcMar>
            <w:vAlign w:val="center"/>
          </w:tcPr>
          <w:p>
            <w:pPr>
              <w:jc w:val="center"/>
            </w:pPr>
            <w:r>
              <w:rPr>
                <w:rFonts w:ascii="Arial" w:cs="Arial" w:eastAsia="Arial" w:hAnsi="Arial"/>
                <w:b/>
                <w:bCs/>
                <w:i w:val="false"/>
                <w:iCs w:val="false"/>
                <w:color w:val="B71C1C"/>
                <w:sz w:val="22"/>
                <w:szCs w:val="22"/>
              </w:rPr>
              <w:t xml:space="preserve">2/10</w:t>
            </w:r>
          </w:p>
        </w:tc>
        <w:tc>
          <w:tcPr>
            <w:tcW w:type="dxa" w:w="5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val="false"/>
                <w:iCs w:val="false"/>
                <w:color w:val="333333"/>
                <w:sz w:val="20"/>
                <w:szCs w:val="20"/>
              </w:rPr>
              <w:t xml:space="preserve">No Instagram-native assets, no UGC, no video</w:t>
            </w:r>
          </w:p>
        </w:tc>
      </w:tr>
      <w:tr>
        <w:tc>
          <w:tcPr>
            <w:tcW w:type="dxa" w:w="3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bCs/>
                <w:i w:val="false"/>
                <w:iCs w:val="false"/>
                <w:color w:val="1A1A1A"/>
                <w:sz w:val="20"/>
                <w:szCs w:val="20"/>
              </w:rPr>
              <w:t xml:space="preserve">Community &amp; Long-Form Engagement</w:t>
            </w:r>
          </w:p>
        </w:tc>
        <w:tc>
          <w:tcPr>
            <w:tcW w:type="dxa" w:w="760"/>
            <w:tcBorders>
              <w:top w:val="single" w:color="DDDDDD" w:sz="1"/>
              <w:left w:val="single" w:color="DDDDDD" w:sz="1"/>
              <w:bottom w:val="single" w:color="DDDDDD" w:sz="1"/>
              <w:right w:val="single" w:color="DDDDDD" w:sz="1"/>
            </w:tcBorders>
            <w:shd w:fill="F8F8F8" w:val="clear"/>
            <w:tcMar>
              <w:top w:type="dxa" w:w="80"/>
              <w:left w:type="dxa" w:w="80"/>
              <w:bottom w:type="dxa" w:w="80"/>
              <w:right w:type="dxa" w:w="80"/>
            </w:tcMar>
            <w:vAlign w:val="center"/>
          </w:tcPr>
          <w:p>
            <w:pPr>
              <w:jc w:val="center"/>
            </w:pPr>
            <w:r>
              <w:rPr>
                <w:rFonts w:ascii="Arial" w:cs="Arial" w:eastAsia="Arial" w:hAnsi="Arial"/>
                <w:b/>
                <w:bCs/>
                <w:i w:val="false"/>
                <w:iCs w:val="false"/>
                <w:color w:val="B71C1C"/>
                <w:sz w:val="22"/>
                <w:szCs w:val="22"/>
              </w:rPr>
              <w:t xml:space="preserve">2/10</w:t>
            </w:r>
          </w:p>
        </w:tc>
        <w:tc>
          <w:tcPr>
            <w:tcW w:type="dxa" w:w="5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val="false"/>
                <w:iCs w:val="false"/>
                <w:color w:val="333333"/>
                <w:sz w:val="20"/>
                <w:szCs w:val="20"/>
              </w:rPr>
              <w:t xml:space="preserve">No content strategy, no podcast, no brand voice</w:t>
            </w:r>
          </w:p>
        </w:tc>
      </w:tr>
      <w:tr>
        <w:tc>
          <w:tcPr>
            <w:tcW w:type="dxa" w:w="3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bCs/>
                <w:i w:val="false"/>
                <w:iCs w:val="false"/>
                <w:color w:val="1A1A1A"/>
                <w:sz w:val="20"/>
                <w:szCs w:val="20"/>
              </w:rPr>
              <w:t xml:space="preserve">Trust Architecture (COD market)</w:t>
            </w:r>
          </w:p>
        </w:tc>
        <w:tc>
          <w:tcPr>
            <w:tcW w:type="dxa" w:w="760"/>
            <w:tcBorders>
              <w:top w:val="single" w:color="DDDDDD" w:sz="1"/>
              <w:left w:val="single" w:color="DDDDDD" w:sz="1"/>
              <w:bottom w:val="single" w:color="DDDDDD" w:sz="1"/>
              <w:right w:val="single" w:color="DDDDDD" w:sz="1"/>
            </w:tcBorders>
            <w:shd w:fill="F8F8F8" w:val="clear"/>
            <w:tcMar>
              <w:top w:type="dxa" w:w="80"/>
              <w:left w:type="dxa" w:w="80"/>
              <w:bottom w:type="dxa" w:w="80"/>
              <w:right w:type="dxa" w:w="80"/>
            </w:tcMar>
            <w:vAlign w:val="center"/>
          </w:tcPr>
          <w:p>
            <w:pPr>
              <w:jc w:val="center"/>
            </w:pPr>
            <w:r>
              <w:rPr>
                <w:rFonts w:ascii="Arial" w:cs="Arial" w:eastAsia="Arial" w:hAnsi="Arial"/>
                <w:b/>
                <w:bCs/>
                <w:i w:val="false"/>
                <w:iCs w:val="false"/>
                <w:color w:val="E65100"/>
                <w:sz w:val="22"/>
                <w:szCs w:val="22"/>
              </w:rPr>
              <w:t xml:space="preserve">5/10</w:t>
            </w:r>
          </w:p>
        </w:tc>
        <w:tc>
          <w:tcPr>
            <w:tcW w:type="dxa" w:w="5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val="false"/>
                <w:iCs w:val="false"/>
                <w:color w:val="333333"/>
                <w:sz w:val="20"/>
                <w:szCs w:val="20"/>
              </w:rPr>
              <w:t xml:space="preserve">COD flagged; exchange policy visible; reviews absent</w:t>
            </w:r>
          </w:p>
        </w:tc>
      </w:tr>
      <w:tr>
        <w:tc>
          <w:tcPr>
            <w:tcW w:type="dxa" w:w="36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80"/>
            </w:tcMar>
          </w:tcPr>
          <w:p>
            <w:r>
              <w:rPr>
                <w:rFonts w:ascii="Arial" w:cs="Arial" w:eastAsia="Arial" w:hAnsi="Arial"/>
                <w:b/>
                <w:bCs/>
                <w:i w:val="false"/>
                <w:iCs w:val="false"/>
                <w:color w:val="FFFFFF"/>
                <w:sz w:val="22"/>
                <w:szCs w:val="22"/>
              </w:rPr>
              <w:t xml:space="preserve">OVERALL</w:t>
            </w:r>
          </w:p>
        </w:tc>
        <w:tc>
          <w:tcPr>
            <w:tcW w:type="dxa" w:w="760"/>
            <w:tcBorders>
              <w:top w:val="single" w:color="DDDDDD" w:sz="1"/>
              <w:left w:val="single" w:color="DDDDDD" w:sz="1"/>
              <w:bottom w:val="single" w:color="DDDDDD" w:sz="1"/>
              <w:right w:val="single" w:color="DDDDDD" w:sz="1"/>
            </w:tcBorders>
            <w:shd w:fill="1A1A1A" w:val="clear"/>
            <w:tcMar>
              <w:top w:type="dxa" w:w="100"/>
              <w:left w:type="dxa" w:w="80"/>
              <w:bottom w:type="dxa" w:w="100"/>
              <w:right w:type="dxa" w:w="80"/>
            </w:tcMar>
            <w:vAlign w:val="center"/>
          </w:tcPr>
          <w:p>
            <w:pPr>
              <w:jc w:val="center"/>
            </w:pPr>
            <w:r>
              <w:rPr>
                <w:rFonts w:ascii="Arial" w:cs="Arial" w:eastAsia="Arial" w:hAnsi="Arial"/>
                <w:b/>
                <w:bCs/>
                <w:i w:val="false"/>
                <w:iCs w:val="false"/>
                <w:color w:val="C4302B"/>
                <w:sz w:val="26"/>
                <w:szCs w:val="26"/>
              </w:rPr>
              <w:t xml:space="preserve">4.4/10</w:t>
            </w:r>
          </w:p>
        </w:tc>
        <w:tc>
          <w:tcPr>
            <w:tcW w:type="dxa" w:w="5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80"/>
            </w:tcMar>
          </w:tcPr>
          <w:p>
            <w:r>
              <w:rPr>
                <w:rFonts w:ascii="Arial" w:cs="Arial" w:eastAsia="Arial" w:hAnsi="Arial"/>
                <w:b w:val="false"/>
                <w:bCs w:val="false"/>
                <w:i w:val="false"/>
                <w:iCs w:val="false"/>
                <w:color w:val="FFFFFF"/>
                <w:sz w:val="20"/>
                <w:szCs w:val="20"/>
              </w:rPr>
              <w:t xml:space="preserve">Strong concept, critically weak execution across all communication dimensions</w:t>
            </w:r>
          </w:p>
        </w:tc>
      </w:tr>
    </w:tbl>
    <w:p>
      <w:r>
        <w:br w:type="page"/>
      </w:r>
    </w:p>
    <w:p>
      <w:pPr>
        <w:pStyle w:val="Heading1"/>
        <w:pBdr>
          <w:bottom w:val="single" w:color="C4302B" w:sz="6" w:space="4"/>
        </w:pBdr>
        <w:spacing w:before="300" w:after="120"/>
      </w:pPr>
      <w:r>
        <w:rPr>
          <w:rFonts w:ascii="Arial" w:cs="Arial" w:eastAsia="Arial" w:hAnsi="Arial"/>
          <w:b/>
          <w:bCs/>
          <w:color w:val="1A1A1A"/>
          <w:sz w:val="32"/>
          <w:szCs w:val="32"/>
        </w:rPr>
        <w:t xml:space="preserve">1. The Fashion Palimpsest — Storytelling Architecture</w:t>
      </w:r>
    </w:p>
    <w:p>
      <w:pPr>
        <w:pStyle w:val="Heading2"/>
        <w:spacing w:before="240" w:after="80"/>
      </w:pPr>
      <w:r>
        <w:rPr>
          <w:rFonts w:ascii="Arial" w:cs="Arial" w:eastAsia="Arial" w:hAnsi="Arial"/>
          <w:b/>
          <w:bCs/>
          <w:color w:val="1A1A1A"/>
          <w:sz w:val="26"/>
          <w:szCs w:val="26"/>
        </w:rPr>
        <w:t xml:space="preserve">What the Research Says</w:t>
      </w:r>
    </w:p>
    <w:p>
      <w:pPr>
        <w:spacing w:before="60" w:after="80"/>
        <w:jc w:val="both"/>
      </w:pPr>
      <w:r>
        <w:rPr>
          <w:rFonts w:ascii="Arial" w:cs="Arial" w:eastAsia="Arial" w:hAnsi="Arial"/>
          <w:b w:val="false"/>
          <w:bCs w:val="false"/>
          <w:i w:val="false"/>
          <w:iCs w:val="false"/>
          <w:color w:val="1A1A1A"/>
          <w:sz w:val="22"/>
          <w:szCs w:val="22"/>
        </w:rPr>
        <w:t xml:space="preserve">Linfante's paper in FACTUM 25 introduces the 'fashion palimpsest' as the defining communication model of contemporary fashion: a multi-layered, continuous storytelling system across channels, touchpoints, and time — not isolated product moments. Citing Barthes, Derrida, and Eco, Linfante argues that 'fashion communication can no longer be considered unidirectional and one-dimensional.' It operates through 'complete communicative palimpsests,' building meaning the same way a broadcasting schedule builds a channel identity. Every element — collections, drops, behind-the-scenes, events, social posts — is simultaneously a product and a narrative layer.</w:t>
      </w:r>
    </w:p>
    <w:p>
      <w:pPr>
        <w:spacing w:before="80" w:after="80"/>
      </w:pPr>
    </w:p>
    <w:p>
      <w:pPr>
        <w:spacing w:before="60" w:after="80"/>
        <w:jc w:val="both"/>
      </w:pPr>
      <w:r>
        <w:rPr>
          <w:rFonts w:ascii="Arial" w:cs="Arial" w:eastAsia="Arial" w:hAnsi="Arial"/>
          <w:b w:val="false"/>
          <w:bCs w:val="false"/>
          <w:i w:val="false"/>
          <w:iCs w:val="false"/>
          <w:color w:val="1A1A1A"/>
          <w:sz w:val="22"/>
          <w:szCs w:val="22"/>
        </w:rPr>
        <w:t xml:space="preserve">The research documents how leading brands like Virgil Abloh's Off-White, Prada, and Balmain have made this concrete: content pipelines that run before, during, and after product launches; digital channels designed as editorial programmes; fashion shows conceived as one episode in an ongoing series. Critically, Linfante notes the medium has been transformed: 'brands have transformed from design houses into studios that produce both material products and digital content.'</w:t>
      </w:r>
    </w:p>
    <w:p>
      <w:pPr>
        <w:pStyle w:val="Heading2"/>
        <w:spacing w:before="240" w:after="80"/>
      </w:pPr>
      <w:r>
        <w:rPr>
          <w:rFonts w:ascii="Arial" w:cs="Arial" w:eastAsia="Arial" w:hAnsi="Arial"/>
          <w:b/>
          <w:bCs/>
          <w:color w:val="1A1A1A"/>
          <w:sz w:val="26"/>
          <w:szCs w:val="26"/>
        </w:rPr>
        <w:t xml:space="preserve">HORO Website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4302B" w:val="clear"/>
            <w:tcMar>
              <w:top w:type="dxa" w:w="120"/>
              <w:left w:type="dxa" w:w="120"/>
              <w:bottom w:type="dxa" w:w="120"/>
              <w:right w:type="dxa" w:w="80"/>
            </w:tcMar>
          </w:tcPr>
          <w:p>
            <w:r>
              <w:rPr>
                <w:rFonts w:ascii="Arial" w:cs="Arial" w:eastAsia="Arial" w:hAnsi="Arial"/>
                <w:b w:val="false"/>
                <w:bCs w:val="false"/>
                <w:i w:val="false"/>
                <w:iCs w:val="false"/>
                <w:color w:val="FFFFFF"/>
                <w:sz w:val="22"/>
                <w:szCs w:val="22"/>
              </w:rPr>
              <w:t xml:space="preserve">▌</w:t>
            </w:r>
          </w:p>
        </w:tc>
        <w:tc>
          <w:tcPr>
            <w:tcW w:type="dxa" w:w="880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pPr>
              <w:spacing w:before="0" w:after="40"/>
            </w:pPr>
            <w:r>
              <w:rPr>
                <w:rFonts w:ascii="Arial" w:cs="Arial" w:eastAsia="Arial" w:hAnsi="Arial"/>
                <w:b/>
                <w:bCs/>
                <w:i w:val="false"/>
                <w:iCs w:val="false"/>
                <w:color w:val="C4302B"/>
                <w:sz w:val="20"/>
                <w:szCs w:val="20"/>
              </w:rPr>
              <w:t xml:space="preserve">Evidence on Site</w:t>
            </w:r>
          </w:p>
          <w:p>
            <w:pPr>
              <w:spacing w:before="0" w:after="0"/>
            </w:pPr>
            <w:r>
              <w:rPr>
                <w:rFonts w:ascii="Arial" w:cs="Arial" w:eastAsia="Arial" w:hAnsi="Arial"/>
                <w:b w:val="false"/>
                <w:bCs w:val="false"/>
                <w:i w:val="false"/>
                <w:iCs w:val="false"/>
                <w:color w:val="333333"/>
                <w:sz w:val="20"/>
                <w:szCs w:val="20"/>
              </w:rPr>
              <w:t xml:space="preserve">The homepage displays three section headers: 'Act I — The Call', 'Act II — The Journey', 'Act III — The Return'. This is a direct attempt at palimpsest architecture — a deliberate narrative arc framing the brand experience as a three-act story.</w:t>
            </w:r>
          </w:p>
        </w:tc>
      </w:tr>
    </w:tbl>
    <w:p>
      <w:pPr>
        <w:spacing w:before="100" w:after="0"/>
      </w:pPr>
    </w:p>
    <w:p>
      <w:pPr>
        <w:spacing w:before="60" w:after="80"/>
        <w:jc w:val="both"/>
      </w:pPr>
      <w:r>
        <w:rPr>
          <w:rFonts w:ascii="Arial" w:cs="Arial" w:eastAsia="Arial" w:hAnsi="Arial"/>
          <w:b w:val="false"/>
          <w:bCs w:val="false"/>
          <w:i w:val="false"/>
          <w:iCs w:val="false"/>
          <w:color w:val="1A1A1A"/>
          <w:sz w:val="22"/>
          <w:szCs w:val="22"/>
        </w:rPr>
        <w:t xml:space="preserve">This is HORO's single most intellectually sophisticated design choice. A three-act narrative structure maps directly onto what Linfante describes as 'a programme's identity and flavour' — the contextual variable that modifies the meaning of individual products within a larger story. The ambition is real and academically grounded.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4302B" w:val="clear"/>
            <w:tcMar>
              <w:top w:type="dxa" w:w="120"/>
              <w:left w:type="dxa" w:w="120"/>
              <w:bottom w:type="dxa" w:w="120"/>
              <w:right w:type="dxa" w:w="80"/>
            </w:tcMar>
          </w:tcPr>
          <w:p>
            <w:r>
              <w:rPr>
                <w:rFonts w:ascii="Arial" w:cs="Arial" w:eastAsia="Arial" w:hAnsi="Arial"/>
                <w:b w:val="false"/>
                <w:bCs w:val="false"/>
                <w:i w:val="false"/>
                <w:iCs w:val="false"/>
                <w:color w:val="FFFFFF"/>
                <w:sz w:val="22"/>
                <w:szCs w:val="22"/>
              </w:rPr>
              <w:t xml:space="preserve">▌</w:t>
            </w:r>
          </w:p>
        </w:tc>
        <w:tc>
          <w:tcPr>
            <w:tcW w:type="dxa" w:w="8800"/>
            <w:tcBorders>
              <w:top w:val="none" w:color="FFFFFF" w:sz="0"/>
              <w:left w:val="none" w:color="FFFFFF" w:sz="0"/>
              <w:bottom w:val="none" w:color="FFFFFF" w:sz="0"/>
              <w:right w:val="none" w:color="FFFFFF" w:sz="0"/>
            </w:tcBorders>
            <w:shd w:fill="FFF0F0" w:val="clear"/>
            <w:tcMar>
              <w:top w:type="dxa" w:w="120"/>
              <w:left w:type="dxa" w:w="200"/>
              <w:bottom w:type="dxa" w:w="120"/>
              <w:right w:type="dxa" w:w="160"/>
            </w:tcMar>
          </w:tcPr>
          <w:p>
            <w:pPr>
              <w:spacing w:before="0" w:after="40"/>
            </w:pPr>
            <w:r>
              <w:rPr>
                <w:rFonts w:ascii="Arial" w:cs="Arial" w:eastAsia="Arial" w:hAnsi="Arial"/>
                <w:b/>
                <w:bCs/>
                <w:i w:val="false"/>
                <w:iCs w:val="false"/>
                <w:color w:val="C4302B"/>
                <w:sz w:val="20"/>
                <w:szCs w:val="20"/>
              </w:rPr>
              <w:t xml:space="preserve">Critical Failure</w:t>
            </w:r>
          </w:p>
          <w:p>
            <w:pPr>
              <w:spacing w:before="0" w:after="0"/>
            </w:pPr>
            <w:r>
              <w:rPr>
                <w:rFonts w:ascii="Arial" w:cs="Arial" w:eastAsia="Arial" w:hAnsi="Arial"/>
                <w:b w:val="false"/>
                <w:bCs w:val="false"/>
                <w:i w:val="false"/>
                <w:iCs w:val="false"/>
                <w:color w:val="333333"/>
                <w:sz w:val="20"/>
                <w:szCs w:val="20"/>
              </w:rPr>
              <w:t xml:space="preserve">Every one of the three Acts is an empty header. There is no prose, no imagery, no video, no artist story, no brand manifesto beneath any of them. The scaffold exists; the building does not. The research is explicit: the palimpsest only creates value through actual, layered content that audiences can engage with over time.</w:t>
            </w:r>
          </w:p>
        </w:tc>
      </w:tr>
    </w:tbl>
    <w:p>
      <w:pPr>
        <w:spacing w:before="100" w:after="0"/>
      </w:pPr>
    </w:p>
    <w:p>
      <w:pPr>
        <w:spacing w:before="60" w:after="80"/>
        <w:jc w:val="both"/>
      </w:pPr>
      <w:r>
        <w:rPr>
          <w:rFonts w:ascii="Arial" w:cs="Arial" w:eastAsia="Arial" w:hAnsi="Arial"/>
          <w:b w:val="false"/>
          <w:bCs w:val="false"/>
          <w:i w:val="false"/>
          <w:iCs w:val="false"/>
          <w:color w:val="1A1A1A"/>
          <w:sz w:val="22"/>
          <w:szCs w:val="22"/>
        </w:rPr>
        <w:t xml:space="preserve">Per the FACTUM 25 framework, the minimum viable palimpsest for a brand at HORO's stage would include: a founding story (Act I), an artist discovery journal (Act II), and a community/buyer story (Act III) — each fed by a consistent weekly content cadence across at least one primary channel. Currently, none of this exists.</w:t>
      </w:r>
    </w:p>
    <w:p>
      <w:pPr>
        <w:pStyle w:val="Heading2"/>
        <w:spacing w:before="240" w:after="80"/>
      </w:pPr>
      <w:r>
        <w:rPr>
          <w:rFonts w:ascii="Arial" w:cs="Arial" w:eastAsia="Arial" w:hAnsi="Arial"/>
          <w:b/>
          <w:bCs/>
          <w:color w:val="1A1A1A"/>
          <w:sz w:val="26"/>
          <w:szCs w:val="26"/>
        </w:rPr>
        <w:t xml:space="preserve">Specific Recommendations</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Write the Act I manifesto: 200–300 words on why HORO exists, what Egyptian art means to the founders, and what they are fighting against (generic print culture)</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Populate Act II with artist process content: time-lapse creation videos, sketch-to-shirt sequences, studio visits — the research shows this is the content type with highest fashion audience engagement</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Use Act III for community voice: buyer stories, UGC featuring real customers, and the ongoing 'drop' narrative that creates anticipation for the next chapter</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Design every content piece for 1080×1080 or 9:16 consumption first — Linfante specifically notes brands now 'conceive image production from 1080 pixels, the unit of measurement of an Instagram post'</w:t>
      </w:r>
    </w:p>
    <w:p>
      <w:r>
        <w:br w:type="page"/>
      </w:r>
    </w:p>
    <w:p>
      <w:pPr>
        <w:pStyle w:val="Heading1"/>
        <w:pBdr>
          <w:bottom w:val="single" w:color="C4302B" w:sz="6" w:space="4"/>
        </w:pBdr>
        <w:spacing w:before="300" w:after="120"/>
      </w:pPr>
      <w:r>
        <w:rPr>
          <w:rFonts w:ascii="Arial" w:cs="Arial" w:eastAsia="Arial" w:hAnsi="Arial"/>
          <w:b/>
          <w:bCs/>
          <w:color w:val="1A1A1A"/>
          <w:sz w:val="32"/>
          <w:szCs w:val="32"/>
        </w:rPr>
        <w:t xml:space="preserve">2. Brand Semiotics &amp; Visual Consistency</w:t>
      </w:r>
    </w:p>
    <w:p>
      <w:pPr>
        <w:pStyle w:val="Heading2"/>
        <w:spacing w:before="240" w:after="80"/>
      </w:pPr>
      <w:r>
        <w:rPr>
          <w:rFonts w:ascii="Arial" w:cs="Arial" w:eastAsia="Arial" w:hAnsi="Arial"/>
          <w:b/>
          <w:bCs/>
          <w:color w:val="1A1A1A"/>
          <w:sz w:val="26"/>
          <w:szCs w:val="26"/>
        </w:rPr>
        <w:t xml:space="preserve">What the Research Says</w:t>
      </w:r>
    </w:p>
    <w:p>
      <w:pPr>
        <w:spacing w:before="60" w:after="80"/>
        <w:jc w:val="both"/>
      </w:pPr>
      <w:r>
        <w:rPr>
          <w:rFonts w:ascii="Arial" w:cs="Arial" w:eastAsia="Arial" w:hAnsi="Arial"/>
          <w:b w:val="false"/>
          <w:bCs w:val="false"/>
          <w:i w:val="false"/>
          <w:iCs w:val="false"/>
          <w:color w:val="1A1A1A"/>
          <w:sz w:val="22"/>
          <w:szCs w:val="22"/>
        </w:rPr>
        <w:t xml:space="preserve">Rizzi and Vandi's paper on 'Synthetic Imaginaries' grounds fashion brand building in a semiotic framework drawn from Floch and Barthes: 'brand aesthetics comprises stable and specific elements primarily derived from visual perceptions.' Their central argument is that brand identity is a sign system — a network of consistent visual codes (colors, textures, silhouettes, typography, photography style) that together produce meaning in the consumer's mind. Critically, they argue that 'words and images have been central to fashion production, circulation, and dissemination' and that Barthes' 'written-clothing' and 'image-clothing' must work in semiotic alignment — the visual must say the same thing as the verbal.</w:t>
      </w:r>
    </w:p>
    <w:p>
      <w:pPr>
        <w:spacing w:before="80" w:after="80"/>
      </w:pPr>
    </w:p>
    <w:p>
      <w:pPr>
        <w:spacing w:before="60" w:after="80"/>
        <w:jc w:val="both"/>
      </w:pPr>
      <w:r>
        <w:rPr>
          <w:rFonts w:ascii="Arial" w:cs="Arial" w:eastAsia="Arial" w:hAnsi="Arial"/>
          <w:b w:val="false"/>
          <w:bCs w:val="false"/>
          <w:i w:val="false"/>
          <w:iCs w:val="false"/>
          <w:color w:val="1A1A1A"/>
          <w:sz w:val="22"/>
          <w:szCs w:val="22"/>
        </w:rPr>
        <w:t xml:space="preserve">The paper uses case studies of how GAI is beginning to assist brands in extending their visual sign systems consistently across product, communication, and retail. The underlying principle, however, is pre-AI: a coherent brand sign system is the foundation, and inconsistency in that system destroys brand equity faster than any other single factor.</w:t>
      </w:r>
    </w:p>
    <w:p>
      <w:pPr>
        <w:pStyle w:val="Heading2"/>
        <w:spacing w:before="240" w:after="80"/>
      </w:pPr>
      <w:r>
        <w:rPr>
          <w:rFonts w:ascii="Arial" w:cs="Arial" w:eastAsia="Arial" w:hAnsi="Arial"/>
          <w:b/>
          <w:bCs/>
          <w:color w:val="1A1A1A"/>
          <w:sz w:val="26"/>
          <w:szCs w:val="26"/>
        </w:rPr>
        <w:t xml:space="preserve">HORO Website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4302B" w:val="clear"/>
            <w:tcMar>
              <w:top w:type="dxa" w:w="120"/>
              <w:left w:type="dxa" w:w="120"/>
              <w:bottom w:type="dxa" w:w="120"/>
              <w:right w:type="dxa" w:w="80"/>
            </w:tcMar>
          </w:tcPr>
          <w:p>
            <w:r>
              <w:rPr>
                <w:rFonts w:ascii="Arial" w:cs="Arial" w:eastAsia="Arial" w:hAnsi="Arial"/>
                <w:b w:val="false"/>
                <w:bCs w:val="false"/>
                <w:i w:val="false"/>
                <w:iCs w:val="false"/>
                <w:color w:val="FFFFFF"/>
                <w:sz w:val="22"/>
                <w:szCs w:val="22"/>
              </w:rPr>
              <w:t xml:space="preserve">▌</w:t>
            </w:r>
          </w:p>
        </w:tc>
        <w:tc>
          <w:tcPr>
            <w:tcW w:type="dxa" w:w="8800"/>
            <w:tcBorders>
              <w:top w:val="none" w:color="FFFFFF" w:sz="0"/>
              <w:left w:val="none" w:color="FFFFFF" w:sz="0"/>
              <w:bottom w:val="none" w:color="FFFFFF" w:sz="0"/>
              <w:right w:val="none" w:color="FFFFFF" w:sz="0"/>
            </w:tcBorders>
            <w:shd w:fill="FFF0F0" w:val="clear"/>
            <w:tcMar>
              <w:top w:type="dxa" w:w="120"/>
              <w:left w:type="dxa" w:w="200"/>
              <w:bottom w:type="dxa" w:w="120"/>
              <w:right w:type="dxa" w:w="160"/>
            </w:tcMar>
          </w:tcPr>
          <w:p>
            <w:pPr>
              <w:spacing w:before="0" w:after="40"/>
            </w:pPr>
            <w:r>
              <w:rPr>
                <w:rFonts w:ascii="Arial" w:cs="Arial" w:eastAsia="Arial" w:hAnsi="Arial"/>
                <w:b/>
                <w:bCs/>
                <w:i w:val="false"/>
                <w:iCs w:val="false"/>
                <w:color w:val="C4302B"/>
                <w:sz w:val="20"/>
                <w:szCs w:val="20"/>
              </w:rPr>
              <w:t xml:space="preserve">The Central Contradiction</w:t>
            </w:r>
          </w:p>
          <w:p>
            <w:pPr>
              <w:spacing w:before="0" w:after="0"/>
            </w:pPr>
            <w:r>
              <w:rPr>
                <w:rFonts w:ascii="Arial" w:cs="Arial" w:eastAsia="Arial" w:hAnsi="Arial"/>
                <w:b w:val="false"/>
                <w:bCs w:val="false"/>
                <w:i w:val="false"/>
                <w:iCs w:val="false"/>
                <w:color w:val="333333"/>
                <w:sz w:val="20"/>
                <w:szCs w:val="20"/>
              </w:rPr>
              <w:t xml:space="preserve">The HORO homepage declares: 'Most printed tees look fine online — then feel generic in real life.' It then immediately displays product images sourced from Unsplash (the URLs contain 'images.unsplash.com') — stock photos of models wearing completely different garments that have no connection to HORO's actual products.</w:t>
            </w:r>
          </w:p>
        </w:tc>
      </w:tr>
    </w:tbl>
    <w:p>
      <w:pPr>
        <w:spacing w:before="100" w:after="0"/>
      </w:pPr>
    </w:p>
    <w:p>
      <w:pPr>
        <w:spacing w:before="60" w:after="80"/>
        <w:jc w:val="both"/>
      </w:pPr>
      <w:r>
        <w:rPr>
          <w:rFonts w:ascii="Arial" w:cs="Arial" w:eastAsia="Arial" w:hAnsi="Arial"/>
          <w:b w:val="false"/>
          <w:bCs w:val="false"/>
          <w:i w:val="false"/>
          <w:iCs w:val="false"/>
          <w:color w:val="1A1A1A"/>
          <w:sz w:val="22"/>
          <w:szCs w:val="22"/>
        </w:rPr>
        <w:t xml:space="preserve">In semiotic terms, this is a sign system that signals its own inauthenticity. The brand's verbal sign (we are different, we are real, we prove quality visually) directly contradicts its visual sign (we show you generic stock photography). Per Barthes, fashion 'exists as a network of references constantly constructed and deconstructed by the individuals who negotiate, interpret, or receive its meaning.' When the verbal and visual references contradict each other, consumers decode the gap and interpret it as deception — not aspiration.</w:t>
      </w:r>
    </w:p>
    <w:p>
      <w:pPr>
        <w:spacing w:before="80" w:after="80"/>
      </w:pPr>
    </w:p>
    <w:p>
      <w:pPr>
        <w:spacing w:before="60" w:after="80"/>
        <w:jc w:val="both"/>
      </w:pPr>
      <w:r>
        <w:rPr>
          <w:rFonts w:ascii="Arial" w:cs="Arial" w:eastAsia="Arial" w:hAnsi="Arial"/>
          <w:b w:val="false"/>
          <w:bCs w:val="false"/>
          <w:i w:val="false"/>
          <w:iCs w:val="false"/>
          <w:color w:val="1A1A1A"/>
          <w:sz w:val="22"/>
          <w:szCs w:val="22"/>
        </w:rPr>
        <w:t xml:space="preserve">The FACTUM 25 proceedings return repeatedly to one theme: authenticity is the only premium a new brand can own that incumbents cannot buy. Rizzi and Vandi note that 'authenticity, defined as the ability to act based on deep grounded personal desires,' is precisely what AI and large brands cannot replicate — making it the independent brand's primary advantage. HORO is giving this advantage away for free by using stock photos.</w:t>
      </w:r>
    </w:p>
    <w:p>
      <w:pPr>
        <w:pStyle w:val="Heading2"/>
        <w:spacing w:before="240" w:after="80"/>
      </w:pPr>
      <w:r>
        <w:rPr>
          <w:rFonts w:ascii="Arial" w:cs="Arial" w:eastAsia="Arial" w:hAnsi="Arial"/>
          <w:b/>
          <w:bCs/>
          <w:color w:val="1A1A1A"/>
          <w:sz w:val="26"/>
          <w:szCs w:val="26"/>
        </w:rPr>
        <w:t xml:space="preserve">Specific Recommendations</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Replace every Unsplash image with real product photography before any paid traffic. This is not optional — it is the brand's entire credibility stake</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Develop a consistent HORO visual language: one signature photography style (lighting, backdrop, model stance, crop), one color palette for editorial frames, one consistent typographic treatment for product names</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Show fabric texture at macro scale: the FACTUM 25 research on Harris Tweed shows that close-up materiality photography generates the highest organic engagement because it 'creates a desire for people to come and see [the product] first-hand'</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Apply the sign system consistently across all channels — website product imagery, Instagram posts, WhatsApp confirmation messages, packaging inserts must all be visually recognizable as HORO</w:t>
      </w:r>
    </w:p>
    <w:p>
      <w:r>
        <w:br w:type="page"/>
      </w:r>
    </w:p>
    <w:p>
      <w:pPr>
        <w:pStyle w:val="Heading1"/>
        <w:pBdr>
          <w:bottom w:val="single" w:color="C4302B" w:sz="6" w:space="4"/>
        </w:pBdr>
        <w:spacing w:before="300" w:after="120"/>
      </w:pPr>
      <w:r>
        <w:rPr>
          <w:rFonts w:ascii="Arial" w:cs="Arial" w:eastAsia="Arial" w:hAnsi="Arial"/>
          <w:b/>
          <w:bCs/>
          <w:color w:val="1A1A1A"/>
          <w:sz w:val="32"/>
          <w:szCs w:val="32"/>
        </w:rPr>
        <w:t xml:space="preserve">3. Authenticity &amp; the Maker Narrative</w:t>
      </w:r>
    </w:p>
    <w:p>
      <w:pPr>
        <w:pStyle w:val="Heading2"/>
        <w:spacing w:before="240" w:after="80"/>
      </w:pPr>
      <w:r>
        <w:rPr>
          <w:rFonts w:ascii="Arial" w:cs="Arial" w:eastAsia="Arial" w:hAnsi="Arial"/>
          <w:b/>
          <w:bCs/>
          <w:color w:val="1A1A1A"/>
          <w:sz w:val="26"/>
          <w:szCs w:val="26"/>
        </w:rPr>
        <w:t xml:space="preserve">What the Research Says</w:t>
      </w:r>
    </w:p>
    <w:p>
      <w:pPr>
        <w:spacing w:before="60" w:after="80"/>
        <w:jc w:val="both"/>
      </w:pPr>
      <w:r>
        <w:rPr>
          <w:rFonts w:ascii="Arial" w:cs="Arial" w:eastAsia="Arial" w:hAnsi="Arial"/>
          <w:b w:val="false"/>
          <w:bCs w:val="false"/>
          <w:i w:val="false"/>
          <w:iCs w:val="false"/>
          <w:color w:val="1A1A1A"/>
          <w:sz w:val="22"/>
          <w:szCs w:val="22"/>
        </w:rPr>
        <w:t xml:space="preserve">Cross and Steed's case study of Harris Tweed Hebrides in the FACTUM 25 proceedings provides HORO with its closest structural analogue in the academic literature. Harris Tweed faced an identical positioning challenge: how does a craft-led, artisan product differentiate itself in a market full of cheaper alternatives that superficially appear similar? The research documents their solution: radical transparency about the maker. Video profiles of home weavers embedded in virtual reality showrooms; documentation of the weaving process showing 'the cottage-industry credentials of the home weaver as an artisan craftsperson'; digital archives that transform craft knowledge into accessible consumer content.</w:t>
      </w:r>
    </w:p>
    <w:p>
      <w:pPr>
        <w:spacing w:before="80" w:after="80"/>
      </w:pPr>
    </w:p>
    <w:p>
      <w:pPr>
        <w:spacing w:before="60" w:after="80"/>
        <w:jc w:val="both"/>
      </w:pPr>
      <w:r>
        <w:rPr>
          <w:rFonts w:ascii="Arial" w:cs="Arial" w:eastAsia="Arial" w:hAnsi="Arial"/>
          <w:b w:val="false"/>
          <w:bCs w:val="false"/>
          <w:i w:val="false"/>
          <w:iCs w:val="false"/>
          <w:color w:val="1A1A1A"/>
          <w:sz w:val="22"/>
          <w:szCs w:val="22"/>
        </w:rPr>
        <w:t xml:space="preserve">The paper concludes that 'the use of immersive technologies was successful in facilitating engagement with younger and more diverse audiences and led to a change in perceptions about the brand' — with test users describing the brand as 'more fashion-forward, and for a younger target consumer.' The operative mechanism was maker visibility: showing who makes the product and how, not just what the product is.</w:t>
      </w:r>
    </w:p>
    <w:p>
      <w:pPr>
        <w:pStyle w:val="Heading2"/>
        <w:spacing w:before="240" w:after="80"/>
      </w:pPr>
      <w:r>
        <w:rPr>
          <w:rFonts w:ascii="Arial" w:cs="Arial" w:eastAsia="Arial" w:hAnsi="Arial"/>
          <w:b/>
          <w:bCs/>
          <w:color w:val="1A1A1A"/>
          <w:sz w:val="26"/>
          <w:szCs w:val="26"/>
        </w:rPr>
        <w:t xml:space="preserve">HORO Website Assessment</w:t>
      </w:r>
    </w:p>
    <w:p>
      <w:pPr>
        <w:spacing w:before="60" w:after="80"/>
        <w:jc w:val="both"/>
      </w:pPr>
      <w:r>
        <w:rPr>
          <w:rFonts w:ascii="Arial" w:cs="Arial" w:eastAsia="Arial" w:hAnsi="Arial"/>
          <w:b w:val="false"/>
          <w:bCs w:val="false"/>
          <w:i w:val="false"/>
          <w:iCs w:val="false"/>
          <w:color w:val="1A1A1A"/>
          <w:sz w:val="22"/>
          <w:szCs w:val="22"/>
        </w:rPr>
        <w:t xml:space="preserve">HORO has the right architecture: three named Cairo artists (Amira Youssef, Omar Tarek, Laila Nader) with brief bios and dedicated drop pages. This structural choice directly implements the Harris Tweed lesson at a conceptual level.</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4302B" w:val="clear"/>
            <w:tcMar>
              <w:top w:type="dxa" w:w="120"/>
              <w:left w:type="dxa" w:w="120"/>
              <w:bottom w:type="dxa" w:w="120"/>
              <w:right w:type="dxa" w:w="80"/>
            </w:tcMar>
          </w:tcPr>
          <w:p>
            <w:r>
              <w:rPr>
                <w:rFonts w:ascii="Arial" w:cs="Arial" w:eastAsia="Arial" w:hAnsi="Arial"/>
                <w:b w:val="false"/>
                <w:bCs w:val="false"/>
                <w:i w:val="false"/>
                <w:iCs w:val="false"/>
                <w:color w:val="FFFFFF"/>
                <w:sz w:val="22"/>
                <w:szCs w:val="22"/>
              </w:rPr>
              <w:t xml:space="preserve">▌</w:t>
            </w:r>
          </w:p>
        </w:tc>
        <w:tc>
          <w:tcPr>
            <w:tcW w:type="dxa" w:w="880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pPr>
              <w:spacing w:before="0" w:after="40"/>
            </w:pPr>
            <w:r>
              <w:rPr>
                <w:rFonts w:ascii="Arial" w:cs="Arial" w:eastAsia="Arial" w:hAnsi="Arial"/>
                <w:b/>
                <w:bCs/>
                <w:i w:val="false"/>
                <w:iCs w:val="false"/>
                <w:color w:val="333333"/>
                <w:sz w:val="20"/>
                <w:szCs w:val="20"/>
              </w:rPr>
              <w:t xml:space="preserve">What Is There</w:t>
            </w:r>
          </w:p>
          <w:p>
            <w:pPr>
              <w:spacing w:before="0" w:after="0"/>
            </w:pPr>
            <w:r>
              <w:rPr>
                <w:rFonts w:ascii="Arial" w:cs="Arial" w:eastAsia="Arial" w:hAnsi="Arial"/>
                <w:b w:val="false"/>
                <w:bCs w:val="false"/>
                <w:i w:val="false"/>
                <w:iCs w:val="false"/>
                <w:color w:val="333333"/>
                <w:sz w:val="20"/>
                <w:szCs w:val="20"/>
              </w:rPr>
              <w:t xml:space="preserve">Amira Youssef: 'Based in Cairo, Amira explores the intersection of sacred geometry and modern identity.' Omar Tarek: 'Capturing the vibrant chaos of Egyptian streets through monochromatic expressionism.' Laila Nader: 'A multidisciplinary artist blending digital surrealism with deep existential questions.'</w:t>
            </w:r>
          </w:p>
        </w:tc>
      </w:tr>
    </w:tbl>
    <w:p>
      <w:pPr>
        <w:spacing w:before="100" w:after="0"/>
      </w:pPr>
    </w:p>
    <w:p>
      <w:pPr>
        <w:spacing w:before="60" w:after="80"/>
        <w:jc w:val="both"/>
      </w:pPr>
      <w:r>
        <w:rPr>
          <w:rFonts w:ascii="Arial" w:cs="Arial" w:eastAsia="Arial" w:hAnsi="Arial"/>
          <w:b w:val="false"/>
          <w:bCs w:val="false"/>
          <w:i w:val="false"/>
          <w:iCs w:val="false"/>
          <w:color w:val="1A1A1A"/>
          <w:sz w:val="22"/>
          <w:szCs w:val="22"/>
        </w:rPr>
        <w:t xml:space="preserve">These three sentences per artist represent the full extent of maker narrative on the site. Compared against the Harris Tweed model — videos, loom shed 360-degree photography, weaving process documentation, community employment stories — this is the thinnest possible implementation of artist credibility. There is no portfolio link, no social media handle, no process video, no 'why this design' copy, no artist statement, no proof that these are real, active Cairo artists.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4302B" w:val="clear"/>
            <w:tcMar>
              <w:top w:type="dxa" w:w="120"/>
              <w:left w:type="dxa" w:w="120"/>
              <w:bottom w:type="dxa" w:w="120"/>
              <w:right w:type="dxa" w:w="80"/>
            </w:tcMar>
          </w:tcPr>
          <w:p>
            <w:r>
              <w:rPr>
                <w:rFonts w:ascii="Arial" w:cs="Arial" w:eastAsia="Arial" w:hAnsi="Arial"/>
                <w:b w:val="false"/>
                <w:bCs w:val="false"/>
                <w:i w:val="false"/>
                <w:iCs w:val="false"/>
                <w:color w:val="FFFFFF"/>
                <w:sz w:val="22"/>
                <w:szCs w:val="22"/>
              </w:rPr>
              <w:t xml:space="preserve">▌</w:t>
            </w:r>
          </w:p>
        </w:tc>
        <w:tc>
          <w:tcPr>
            <w:tcW w:type="dxa" w:w="8800"/>
            <w:tcBorders>
              <w:top w:val="none" w:color="FFFFFF" w:sz="0"/>
              <w:left w:val="none" w:color="FFFFFF" w:sz="0"/>
              <w:bottom w:val="none" w:color="FFFFFF" w:sz="0"/>
              <w:right w:val="none" w:color="FFFFFF" w:sz="0"/>
            </w:tcBorders>
            <w:shd w:fill="FFF0F0" w:val="clear"/>
            <w:tcMar>
              <w:top w:type="dxa" w:w="120"/>
              <w:left w:type="dxa" w:w="200"/>
              <w:bottom w:type="dxa" w:w="120"/>
              <w:right w:type="dxa" w:w="160"/>
            </w:tcMar>
          </w:tcPr>
          <w:p>
            <w:pPr>
              <w:spacing w:before="0" w:after="40"/>
            </w:pPr>
            <w:r>
              <w:rPr>
                <w:rFonts w:ascii="Arial" w:cs="Arial" w:eastAsia="Arial" w:hAnsi="Arial"/>
                <w:b/>
                <w:bCs/>
                <w:i w:val="false"/>
                <w:iCs w:val="false"/>
                <w:color w:val="C4302B"/>
                <w:sz w:val="20"/>
                <w:szCs w:val="20"/>
              </w:rPr>
              <w:t xml:space="preserve">The Authenticity Risk</w:t>
            </w:r>
          </w:p>
          <w:p>
            <w:pPr>
              <w:spacing w:before="0" w:after="0"/>
            </w:pPr>
            <w:r>
              <w:rPr>
                <w:rFonts w:ascii="Arial" w:cs="Arial" w:eastAsia="Arial" w:hAnsi="Arial"/>
                <w:b w:val="false"/>
                <w:bCs w:val="false"/>
                <w:i w:val="false"/>
                <w:iCs w:val="false"/>
                <w:color w:val="333333"/>
                <w:sz w:val="20"/>
                <w:szCs w:val="20"/>
              </w:rPr>
              <w:t xml:space="preserve">In a trust-sensitive, COD-dominated market, unverifiable artist profiles are indistinguishable from invented personas. The research is direct: authenticity cannot be claimed — it must be demonstrated through evidence that an engaged consumer can independently verify.</w:t>
            </w:r>
          </w:p>
        </w:tc>
      </w:tr>
    </w:tbl>
    <w:p>
      <w:pPr>
        <w:pStyle w:val="Heading2"/>
        <w:spacing w:before="240" w:after="80"/>
      </w:pPr>
      <w:r>
        <w:rPr>
          <w:rFonts w:ascii="Arial" w:cs="Arial" w:eastAsia="Arial" w:hAnsi="Arial"/>
          <w:b/>
          <w:bCs/>
          <w:color w:val="1A1A1A"/>
          <w:sz w:val="26"/>
          <w:szCs w:val="26"/>
        </w:rPr>
        <w:t xml:space="preserve">Specific Recommendations</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Produce a 60–90 second 'Meet the Artist' video for each artist showing their actual Cairo studio, their drawing process, and their personality — map this directly to the Harris Tweed weaver video model</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Link each artist's real social media handle (Instagram is standard for Cairo visual artists) so buyers can verify and follow independently</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Add an artist statement of 150+ words per profile: what drives the specific collection? What is the personal story behind this design?</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Document the commissioning process: how does HORO find artists, how are they compensated, what is the creative brief? This transparency converts skeptics into advocates</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Show the design-to-print journey: sketch → digital file → print test → final garment. This is the content that most directly counters the 'it's just a print shop' objection the market research identifies</w:t>
      </w:r>
    </w:p>
    <w:p>
      <w:r>
        <w:br w:type="page"/>
      </w:r>
    </w:p>
    <w:p>
      <w:pPr>
        <w:pStyle w:val="Heading1"/>
        <w:pBdr>
          <w:bottom w:val="single" w:color="C4302B" w:sz="6" w:space="4"/>
        </w:pBdr>
        <w:spacing w:before="300" w:after="120"/>
      </w:pPr>
      <w:r>
        <w:rPr>
          <w:rFonts w:ascii="Arial" w:cs="Arial" w:eastAsia="Arial" w:hAnsi="Arial"/>
          <w:b/>
          <w:bCs/>
          <w:color w:val="1A1A1A"/>
          <w:sz w:val="32"/>
          <w:szCs w:val="32"/>
        </w:rPr>
        <w:t xml:space="preserve">4. Identity Construction via Fashion</w:t>
      </w:r>
    </w:p>
    <w:p>
      <w:pPr>
        <w:pStyle w:val="Heading2"/>
        <w:spacing w:before="240" w:after="80"/>
      </w:pPr>
      <w:r>
        <w:rPr>
          <w:rFonts w:ascii="Arial" w:cs="Arial" w:eastAsia="Arial" w:hAnsi="Arial"/>
          <w:b/>
          <w:bCs/>
          <w:color w:val="1A1A1A"/>
          <w:sz w:val="26"/>
          <w:szCs w:val="26"/>
        </w:rPr>
        <w:t xml:space="preserve">What the Research Says</w:t>
      </w:r>
    </w:p>
    <w:p>
      <w:pPr>
        <w:spacing w:before="60" w:after="80"/>
        <w:jc w:val="both"/>
      </w:pPr>
      <w:r>
        <w:rPr>
          <w:rFonts w:ascii="Arial" w:cs="Arial" w:eastAsia="Arial" w:hAnsi="Arial"/>
          <w:b w:val="false"/>
          <w:bCs w:val="false"/>
          <w:i w:val="false"/>
          <w:iCs w:val="false"/>
          <w:color w:val="1A1A1A"/>
          <w:sz w:val="22"/>
          <w:szCs w:val="22"/>
        </w:rPr>
        <w:t xml:space="preserve">Two papers in the FACTUM 25 proceedings converge on the same finding from different angles. Ledendal's analysis of Carlings' virtual fashion campaign documents how fashion brands market ideas 'where consumers can express themselves on social media without contributing to material consumption' — identifying three core consumer motivations: identity experimentation, social visibility, and sustainable self-expression. Peng's research on Gen Z and digital media shows that fashion functions as 'the construction of identity through the consumption of consumer objects,' with digital-native consumers treating clothing as a tool for constructing and broadcasting multiple, context-specific versions of their identity.</w:t>
      </w:r>
    </w:p>
    <w:p>
      <w:pPr>
        <w:spacing w:before="80" w:after="80"/>
      </w:pPr>
    </w:p>
    <w:p>
      <w:pPr>
        <w:spacing w:before="60" w:after="80"/>
        <w:jc w:val="both"/>
      </w:pPr>
      <w:r>
        <w:rPr>
          <w:rFonts w:ascii="Arial" w:cs="Arial" w:eastAsia="Arial" w:hAnsi="Arial"/>
          <w:b w:val="false"/>
          <w:bCs w:val="false"/>
          <w:i w:val="false"/>
          <w:iCs w:val="false"/>
          <w:color w:val="1A1A1A"/>
          <w:sz w:val="22"/>
          <w:szCs w:val="22"/>
        </w:rPr>
        <w:t xml:space="preserve">The Ledendal paper identifies 'utilising emerging technologies for identity construction' as the first and most powerful communication tactic for fashion brands targeting young, digitally-engaged consumers. The key insight is that products must be communicated not as objects but as identity-construction tools — the garment is the medium through which the consumer builds and broadcasts a version of themselves.</w:t>
      </w:r>
    </w:p>
    <w:p>
      <w:pPr>
        <w:pStyle w:val="Heading2"/>
        <w:spacing w:before="240" w:after="80"/>
      </w:pPr>
      <w:r>
        <w:rPr>
          <w:rFonts w:ascii="Arial" w:cs="Arial" w:eastAsia="Arial" w:hAnsi="Arial"/>
          <w:b/>
          <w:bCs/>
          <w:color w:val="1A1A1A"/>
          <w:sz w:val="26"/>
          <w:szCs w:val="26"/>
        </w:rPr>
        <w:t xml:space="preserve">HORO Website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4302B" w:val="clear"/>
            <w:tcMar>
              <w:top w:type="dxa" w:w="120"/>
              <w:left w:type="dxa" w:w="120"/>
              <w:bottom w:type="dxa" w:w="120"/>
              <w:right w:type="dxa" w:w="80"/>
            </w:tcMar>
          </w:tcPr>
          <w:p>
            <w:r>
              <w:rPr>
                <w:rFonts w:ascii="Arial" w:cs="Arial" w:eastAsia="Arial" w:hAnsi="Arial"/>
                <w:b w:val="false"/>
                <w:bCs w:val="false"/>
                <w:i w:val="false"/>
                <w:iCs w:val="false"/>
                <w:color w:val="FFFFFF"/>
                <w:sz w:val="22"/>
                <w:szCs w:val="22"/>
              </w:rPr>
              <w:t xml:space="preserve">▌</w:t>
            </w:r>
          </w:p>
        </w:tc>
        <w:tc>
          <w:tcPr>
            <w:tcW w:type="dxa" w:w="880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pPr>
              <w:spacing w:before="0" w:after="40"/>
            </w:pPr>
            <w:r>
              <w:rPr>
                <w:rFonts w:ascii="Arial" w:cs="Arial" w:eastAsia="Arial" w:hAnsi="Arial"/>
                <w:b/>
                <w:bCs/>
                <w:i w:val="false"/>
                <w:iCs w:val="false"/>
                <w:color w:val="2E7D32"/>
                <w:sz w:val="20"/>
                <w:szCs w:val="20"/>
              </w:rPr>
              <w:t xml:space="preserve">Genuine Strength</w:t>
            </w:r>
          </w:p>
          <w:p>
            <w:pPr>
              <w:spacing w:before="0" w:after="0"/>
            </w:pPr>
            <w:r>
              <w:rPr>
                <w:rFonts w:ascii="Arial" w:cs="Arial" w:eastAsia="Arial" w:hAnsi="Arial"/>
                <w:b w:val="false"/>
                <w:bCs w:val="false"/>
                <w:i w:val="false"/>
                <w:iCs w:val="false"/>
                <w:color w:val="333333"/>
                <w:sz w:val="20"/>
                <w:szCs w:val="20"/>
              </w:rPr>
              <w:t xml:space="preserve">HORO's theme-first navigation (Mood, Career, Couple, Events, Places, Seasons, Horoscope) is the website's strongest design decision and maps directly onto what Peng and Ledendal describe as 'the construction of multiple and extended versions of one's identity.' Each theme gives the consumer a specific identity node to inhabit — 'I am someone who is ambitious' (Career), 'I am in a relationship' (Couple), 'I am celebrating this moment' (Events).</w:t>
            </w:r>
          </w:p>
        </w:tc>
      </w:tr>
    </w:tbl>
    <w:p>
      <w:pPr>
        <w:spacing w:before="100" w:after="0"/>
      </w:pPr>
    </w:p>
    <w:p>
      <w:pPr>
        <w:spacing w:before="60" w:after="80"/>
        <w:jc w:val="both"/>
      </w:pPr>
      <w:r>
        <w:rPr>
          <w:rFonts w:ascii="Arial" w:cs="Arial" w:eastAsia="Arial" w:hAnsi="Arial"/>
          <w:b w:val="false"/>
          <w:bCs w:val="false"/>
          <w:i w:val="false"/>
          <w:iCs w:val="false"/>
          <w:color w:val="1A1A1A"/>
          <w:sz w:val="22"/>
          <w:szCs w:val="22"/>
        </w:rPr>
        <w:t xml:space="preserve">The product copy also demonstrates a reasonable understanding of this framework. 'The Hustler' is described as 'Visions turned into reality' with copy connecting 'the raw, geometric precision of ambition' to 'those building their own path.' 'Inner Calm' deploys 'finding peace in the chaos.' These are identity narratives, not product descriptions, which is exactly what the research recommends.</w:t>
      </w:r>
    </w:p>
    <w:p>
      <w:pPr>
        <w:spacing w:before="80" w:after="80"/>
      </w:pPr>
    </w:p>
    <w:p>
      <w:pPr>
        <w:spacing w:before="60" w:after="80"/>
        <w:jc w:val="both"/>
      </w:pPr>
      <w:r>
        <w:rPr>
          <w:rFonts w:ascii="Arial" w:cs="Arial" w:eastAsia="Arial" w:hAnsi="Arial"/>
          <w:b w:val="false"/>
          <w:bCs w:val="false"/>
          <w:i w:val="false"/>
          <w:iCs w:val="false"/>
          <w:color w:val="1A1A1A"/>
          <w:sz w:val="22"/>
          <w:szCs w:val="22"/>
        </w:rPr>
        <w:t xml:space="preserve">Where this falls apart is at the activation layer. The research shows that identity construction is social — it requires the consumer to be able to broadcast their chosen identity to their community. HORO's product pages have no social sharing mechanic, no 'tag yourself' prompt, no 'show us how you wear it' UGC invitation. The identity positioning is declared by the brand but not activated by the buyer. Per Ledendal, the brand's role is to 'facilitate[e] experimentation with expressions' — HORO tells you what identity the shirt represents but provides no tools for the consumer to use it as an identity signal.</w:t>
      </w:r>
    </w:p>
    <w:p>
      <w:pPr>
        <w:pStyle w:val="Heading2"/>
        <w:spacing w:before="240" w:after="80"/>
      </w:pPr>
      <w:r>
        <w:rPr>
          <w:rFonts w:ascii="Arial" w:cs="Arial" w:eastAsia="Arial" w:hAnsi="Arial"/>
          <w:b/>
          <w:bCs/>
          <w:color w:val="1A1A1A"/>
          <w:sz w:val="26"/>
          <w:szCs w:val="26"/>
        </w:rPr>
        <w:t xml:space="preserve">Specific Recommendations</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Add a 'This is me because...' content mechanic: invite buyers to submit one sentence about why this theme reflects them, and feature selected responses on the product page</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Build a 'Style test' or 'Find your theme' interactive element that asks 3–4 questions and routes the user to the most aligned collection — this transforms passive browsing into active identity discovery</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Add explicit social sharing prompts on confirmation pages: 'Show your chapter' with a pre-formatted Instagram story template featuring the product name and theme</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Create a gallery of real buyers organized by theme on each collection page — seeing oneself reflected in the community is what converts identity aspiration into purchase commitment</w:t>
      </w:r>
    </w:p>
    <w:p>
      <w:r>
        <w:br w:type="page"/>
      </w:r>
    </w:p>
    <w:p>
      <w:pPr>
        <w:pStyle w:val="Heading1"/>
        <w:pBdr>
          <w:bottom w:val="single" w:color="C4302B" w:sz="6" w:space="4"/>
        </w:pBdr>
        <w:spacing w:before="300" w:after="120"/>
      </w:pPr>
      <w:r>
        <w:rPr>
          <w:rFonts w:ascii="Arial" w:cs="Arial" w:eastAsia="Arial" w:hAnsi="Arial"/>
          <w:b/>
          <w:bCs/>
          <w:color w:val="1A1A1A"/>
          <w:sz w:val="32"/>
          <w:szCs w:val="32"/>
        </w:rPr>
        <w:t xml:space="preserve">5. Mediatization &amp; Social-Native Communication</w:t>
      </w:r>
    </w:p>
    <w:p>
      <w:pPr>
        <w:pStyle w:val="Heading2"/>
        <w:spacing w:before="240" w:after="80"/>
      </w:pPr>
      <w:r>
        <w:rPr>
          <w:rFonts w:ascii="Arial" w:cs="Arial" w:eastAsia="Arial" w:hAnsi="Arial"/>
          <w:b/>
          <w:bCs/>
          <w:color w:val="1A1A1A"/>
          <w:sz w:val="26"/>
          <w:szCs w:val="26"/>
        </w:rPr>
        <w:t xml:space="preserve">What the Research Says</w:t>
      </w:r>
    </w:p>
    <w:p>
      <w:pPr>
        <w:spacing w:before="60" w:after="80"/>
        <w:jc w:val="both"/>
      </w:pPr>
      <w:r>
        <w:rPr>
          <w:rFonts w:ascii="Arial" w:cs="Arial" w:eastAsia="Arial" w:hAnsi="Arial"/>
          <w:b w:val="false"/>
          <w:bCs w:val="false"/>
          <w:i w:val="false"/>
          <w:iCs w:val="false"/>
          <w:color w:val="1A1A1A"/>
          <w:sz w:val="22"/>
          <w:szCs w:val="22"/>
        </w:rPr>
        <w:t xml:space="preserve">Linfante's palimpsest paper contains a finding that is directly operational for HORO: 'brands have led to define and manage communication and image production from the unit of measurement of 1080 pixels, that of an Instagram post.' The paper documents how fashion shows, campaigns, and even brand-building exercises are now 'designed to be consumed online: this reduces the time of communication, which becomes instantaneous; the concept of space disappears.' The design unit of fashion communication is no longer the lookbook or the runway — it is the social media post.</w:t>
      </w:r>
    </w:p>
    <w:p>
      <w:pPr>
        <w:spacing w:before="80" w:after="80"/>
      </w:pPr>
    </w:p>
    <w:p>
      <w:pPr>
        <w:spacing w:before="60" w:after="80"/>
        <w:jc w:val="both"/>
      </w:pPr>
      <w:r>
        <w:rPr>
          <w:rFonts w:ascii="Arial" w:cs="Arial" w:eastAsia="Arial" w:hAnsi="Arial"/>
          <w:b w:val="false"/>
          <w:bCs w:val="false"/>
          <w:i w:val="false"/>
          <w:iCs w:val="false"/>
          <w:color w:val="1A1A1A"/>
          <w:sz w:val="22"/>
          <w:szCs w:val="22"/>
        </w:rPr>
        <w:t xml:space="preserve">Sand's case study of Forney Library's Instagram reveals a more granular finding: content that 'accentuates the materiality' of the product — showing texture, weight, and tactile quality — generates the highest organic engagement. The library's most effective content 'shows the materiality of the book, inviting viewers to leaf through the book by swiping through a carousel.' For fashion, this maps directly to fabric texture, print detail, and garment weight communicated through close-up photography and swipe-able carousels. The research also notes that 'behind the scenes' content — storage rooms, production processes, team activities — drives authentic engagement that promotional content cannot replicate.</w:t>
      </w:r>
    </w:p>
    <w:p>
      <w:pPr>
        <w:pStyle w:val="Heading2"/>
        <w:spacing w:before="240" w:after="80"/>
      </w:pPr>
      <w:r>
        <w:rPr>
          <w:rFonts w:ascii="Arial" w:cs="Arial" w:eastAsia="Arial" w:hAnsi="Arial"/>
          <w:b/>
          <w:bCs/>
          <w:color w:val="1A1A1A"/>
          <w:sz w:val="26"/>
          <w:szCs w:val="26"/>
        </w:rPr>
        <w:t xml:space="preserve">HORO Website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4302B" w:val="clear"/>
            <w:tcMar>
              <w:top w:type="dxa" w:w="120"/>
              <w:left w:type="dxa" w:w="120"/>
              <w:bottom w:type="dxa" w:w="120"/>
              <w:right w:type="dxa" w:w="80"/>
            </w:tcMar>
          </w:tcPr>
          <w:p>
            <w:r>
              <w:rPr>
                <w:rFonts w:ascii="Arial" w:cs="Arial" w:eastAsia="Arial" w:hAnsi="Arial"/>
                <w:b w:val="false"/>
                <w:bCs w:val="false"/>
                <w:i w:val="false"/>
                <w:iCs w:val="false"/>
                <w:color w:val="FFFFFF"/>
                <w:sz w:val="22"/>
                <w:szCs w:val="22"/>
              </w:rPr>
              <w:t xml:space="preserve">▌</w:t>
            </w:r>
          </w:p>
        </w:tc>
        <w:tc>
          <w:tcPr>
            <w:tcW w:type="dxa" w:w="8800"/>
            <w:tcBorders>
              <w:top w:val="none" w:color="FFFFFF" w:sz="0"/>
              <w:left w:val="none" w:color="FFFFFF" w:sz="0"/>
              <w:bottom w:val="none" w:color="FFFFFF" w:sz="0"/>
              <w:right w:val="none" w:color="FFFFFF" w:sz="0"/>
            </w:tcBorders>
            <w:shd w:fill="FFF0F0" w:val="clear"/>
            <w:tcMar>
              <w:top w:type="dxa" w:w="120"/>
              <w:left w:type="dxa" w:w="200"/>
              <w:bottom w:type="dxa" w:w="120"/>
              <w:right w:type="dxa" w:w="160"/>
            </w:tcMar>
          </w:tcPr>
          <w:p>
            <w:pPr>
              <w:spacing w:before="0" w:after="40"/>
            </w:pPr>
            <w:r>
              <w:rPr>
                <w:rFonts w:ascii="Arial" w:cs="Arial" w:eastAsia="Arial" w:hAnsi="Arial"/>
                <w:b/>
                <w:bCs/>
                <w:i w:val="false"/>
                <w:iCs w:val="false"/>
                <w:color w:val="C4302B"/>
                <w:sz w:val="20"/>
                <w:szCs w:val="20"/>
              </w:rPr>
              <w:t xml:space="preserve">The Social Layer is Invisible</w:t>
            </w:r>
          </w:p>
          <w:p>
            <w:pPr>
              <w:spacing w:before="0" w:after="0"/>
            </w:pPr>
            <w:r>
              <w:rPr>
                <w:rFonts w:ascii="Arial" w:cs="Arial" w:eastAsia="Arial" w:hAnsi="Arial"/>
                <w:b w:val="false"/>
                <w:bCs w:val="false"/>
                <w:i w:val="false"/>
                <w:iCs w:val="false"/>
                <w:color w:val="333333"/>
                <w:sz w:val="20"/>
                <w:szCs w:val="20"/>
              </w:rPr>
              <w:t xml:space="preserve">The HORO website links to Instagram in its footer. Beyond this single footer link, there is zero evidence of a social content strategy on the website. No embedded Instagram feed, no TikTok video integration, no visible content cadence, no 'follow us for early access' mechanic. The site was built as a standalone DTC store without the social layer that the research identifies as the primary communication channel for fashion.</w:t>
            </w:r>
          </w:p>
        </w:tc>
      </w:tr>
    </w:tbl>
    <w:p>
      <w:pPr>
        <w:spacing w:before="100" w:after="0"/>
      </w:pPr>
    </w:p>
    <w:p>
      <w:pPr>
        <w:spacing w:before="60" w:after="80"/>
        <w:jc w:val="both"/>
      </w:pPr>
      <w:r>
        <w:rPr>
          <w:rFonts w:ascii="Arial" w:cs="Arial" w:eastAsia="Arial" w:hAnsi="Arial"/>
          <w:b w:val="false"/>
          <w:bCs w:val="false"/>
          <w:i w:val="false"/>
          <w:iCs w:val="false"/>
          <w:color w:val="1A1A1A"/>
          <w:sz w:val="22"/>
          <w:szCs w:val="22"/>
        </w:rPr>
        <w:t xml:space="preserve">This is particularly significant because the Egypt market research (from the previous review) shows Facebook pages at 61.7% and WhatsApp at 31.8% of Egyptian e-commerce activity, with direct website purchases at 3.7%. The FACTUM 25 proceedings independently confirm this structural reality for global fashion: social media is not a distribution add-on — it is the primary arena where fashion meaning is produced and consumed. HORO has built a beautiful store front on a road that almost no one will walk down.</w:t>
      </w:r>
    </w:p>
    <w:p>
      <w:pPr>
        <w:pStyle w:val="Heading2"/>
        <w:spacing w:before="240" w:after="80"/>
      </w:pPr>
      <w:r>
        <w:rPr>
          <w:rFonts w:ascii="Arial" w:cs="Arial" w:eastAsia="Arial" w:hAnsi="Arial"/>
          <w:b/>
          <w:bCs/>
          <w:color w:val="1A1A1A"/>
          <w:sz w:val="26"/>
          <w:szCs w:val="26"/>
        </w:rPr>
        <w:t xml:space="preserve">Specific Recommendations</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Redesign the content strategy around a weekly social cadence before investing further in the website: 3 Instagram posts per week minimum (product detail, artist story, behind-scenes)</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Build an embedded 'shoppable Instagram' feed into the homepage — this bridges the discovery channel and the purchase channel that the research says consumers expect to be integrated</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Design every product's visual assets in 1:1 and 9:16 ratio first, then adapt to website use — not the reverse. HORO should be Instagram-native by design</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Prioritize carousel posts showing: (1) full garment, (2) print close-up, (3) fabric texture detail, (4) packaging — Sand's research confirms the carousel swipe is the highest engagement format for materiality-demonstrating content</w:t>
      </w:r>
    </w:p>
    <w:p>
      <w:r>
        <w:br w:type="page"/>
      </w:r>
    </w:p>
    <w:p>
      <w:pPr>
        <w:pStyle w:val="Heading1"/>
        <w:pBdr>
          <w:bottom w:val="single" w:color="C4302B" w:sz="6" w:space="4"/>
        </w:pBdr>
        <w:spacing w:before="300" w:after="120"/>
      </w:pPr>
      <w:r>
        <w:rPr>
          <w:rFonts w:ascii="Arial" w:cs="Arial" w:eastAsia="Arial" w:hAnsi="Arial"/>
          <w:b/>
          <w:bCs/>
          <w:color w:val="1A1A1A"/>
          <w:sz w:val="32"/>
          <w:szCs w:val="32"/>
        </w:rPr>
        <w:t xml:space="preserve">6. Community Building &amp; Long-Form Brand Content</w:t>
      </w:r>
    </w:p>
    <w:p>
      <w:pPr>
        <w:pStyle w:val="Heading2"/>
        <w:spacing w:before="240" w:after="80"/>
      </w:pPr>
      <w:r>
        <w:rPr>
          <w:rFonts w:ascii="Arial" w:cs="Arial" w:eastAsia="Arial" w:hAnsi="Arial"/>
          <w:b/>
          <w:bCs/>
          <w:color w:val="1A1A1A"/>
          <w:sz w:val="26"/>
          <w:szCs w:val="26"/>
        </w:rPr>
        <w:t xml:space="preserve">What the Research Says</w:t>
      </w:r>
    </w:p>
    <w:p>
      <w:pPr>
        <w:spacing w:before="60" w:after="80"/>
        <w:jc w:val="both"/>
      </w:pPr>
      <w:r>
        <w:rPr>
          <w:rFonts w:ascii="Arial" w:cs="Arial" w:eastAsia="Arial" w:hAnsi="Arial"/>
          <w:b w:val="false"/>
          <w:bCs w:val="false"/>
          <w:i w:val="false"/>
          <w:iCs w:val="false"/>
          <w:color w:val="1A1A1A"/>
          <w:sz w:val="22"/>
          <w:szCs w:val="22"/>
        </w:rPr>
        <w:t xml:space="preserve">Gargoles and Hiljding's comparative study of Chanel and Nude Project video podcasting offers HORO a directly applicable framework for its scale and positioning. The research contrasts two viable models: Chanel's bimonthly, curated, high-cultural content approach (17 episodes, 19,597 average views, identity-as-luxury) versus Nude Project's weekly, candid, founder-journey model (117 episodes, 439,981 average views, identity-as-community). The key insight is that Nude Project — a Spanish streetwear brand founded by two 20-year-olds in a dorm room — built its community and brand credibility almost entirely through consistent long-form content before its store had significant scale.</w:t>
      </w:r>
    </w:p>
    <w:p>
      <w:pPr>
        <w:spacing w:before="80" w:after="80"/>
      </w:pPr>
    </w:p>
    <w:p>
      <w:pPr>
        <w:spacing w:before="60" w:after="80"/>
        <w:jc w:val="both"/>
      </w:pPr>
      <w:r>
        <w:rPr>
          <w:rFonts w:ascii="Arial" w:cs="Arial" w:eastAsia="Arial" w:hAnsi="Arial"/>
          <w:b w:val="false"/>
          <w:bCs w:val="false"/>
          <w:i w:val="false"/>
          <w:iCs w:val="false"/>
          <w:color w:val="1A1A1A"/>
          <w:sz w:val="22"/>
          <w:szCs w:val="22"/>
        </w:rPr>
        <w:t xml:space="preserve">The paper documents Nude Project's core mechanism: 'The founders' candid sharing of their own experiences serves to humanize the brand and make it more accessible to their core audience.' Brand narratives, the research argues citing Fournier and Avery, 'are integral in shaping consumers' emotional connections to a brand, as they allow for an authentic, relatable dialogue that resonates deeply with the audience's personal experiences and values.' For fashion brands at startup stage, this community-before-scale approach is not optional — it is the mechanism through which trust is built before the brand can command premium pricing.</w:t>
      </w:r>
    </w:p>
    <w:p>
      <w:pPr>
        <w:pStyle w:val="Heading2"/>
        <w:spacing w:before="240" w:after="80"/>
      </w:pPr>
      <w:r>
        <w:rPr>
          <w:rFonts w:ascii="Arial" w:cs="Arial" w:eastAsia="Arial" w:hAnsi="Arial"/>
          <w:b/>
          <w:bCs/>
          <w:color w:val="1A1A1A"/>
          <w:sz w:val="26"/>
          <w:szCs w:val="26"/>
        </w:rPr>
        <w:t xml:space="preserve">HORO Website Assessment</w:t>
      </w:r>
    </w:p>
    <w:p>
      <w:pPr>
        <w:spacing w:before="60" w:after="80"/>
        <w:jc w:val="both"/>
      </w:pPr>
      <w:r>
        <w:rPr>
          <w:rFonts w:ascii="Arial" w:cs="Arial" w:eastAsia="Arial" w:hAnsi="Arial"/>
          <w:b w:val="false"/>
          <w:bCs w:val="false"/>
          <w:i w:val="false"/>
          <w:iCs w:val="false"/>
          <w:color w:val="1A1A1A"/>
          <w:sz w:val="22"/>
          <w:szCs w:val="22"/>
        </w:rPr>
        <w:t xml:space="preserve">HORO has no visible content strategy beyond product listing. There is no brand blog, no founder story section, no video content embedded on the site, no evidence of a podcast or regular editorial output. The 'About' page is referenced in the footer but its content is inaccessible to review. The homepage tagline — 'You deserve to wear a story that reflects who you really are. We guide you to your perfect chapter' — positions HORO as a storytelling brand, but there is no actual storytelling anywhere on the site.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4302B" w:val="clear"/>
            <w:tcMar>
              <w:top w:type="dxa" w:w="120"/>
              <w:left w:type="dxa" w:w="120"/>
              <w:bottom w:type="dxa" w:w="120"/>
              <w:right w:type="dxa" w:w="80"/>
            </w:tcMar>
          </w:tcPr>
          <w:p>
            <w:r>
              <w:rPr>
                <w:rFonts w:ascii="Arial" w:cs="Arial" w:eastAsia="Arial" w:hAnsi="Arial"/>
                <w:b w:val="false"/>
                <w:bCs w:val="false"/>
                <w:i w:val="false"/>
                <w:iCs w:val="false"/>
                <w:color w:val="FFFFFF"/>
                <w:sz w:val="22"/>
                <w:szCs w:val="22"/>
              </w:rPr>
              <w:t xml:space="preserve">▌</w:t>
            </w:r>
          </w:p>
        </w:tc>
        <w:tc>
          <w:tcPr>
            <w:tcW w:type="dxa" w:w="880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pPr>
              <w:spacing w:before="0" w:after="40"/>
            </w:pPr>
            <w:r>
              <w:rPr>
                <w:rFonts w:ascii="Arial" w:cs="Arial" w:eastAsia="Arial" w:hAnsi="Arial"/>
                <w:b/>
                <w:bCs/>
                <w:i w:val="false"/>
                <w:iCs w:val="false"/>
                <w:color w:val="333333"/>
                <w:sz w:val="20"/>
                <w:szCs w:val="20"/>
              </w:rPr>
              <w:t xml:space="preserve">The Nude Project Lesson for HORO</w:t>
            </w:r>
          </w:p>
          <w:p>
            <w:pPr>
              <w:spacing w:before="0" w:after="0"/>
            </w:pPr>
            <w:r>
              <w:rPr>
                <w:rFonts w:ascii="Arial" w:cs="Arial" w:eastAsia="Arial" w:hAnsi="Arial"/>
                <w:b w:val="false"/>
                <w:bCs w:val="false"/>
                <w:i w:val="false"/>
                <w:iCs w:val="false"/>
                <w:color w:val="333333"/>
                <w:sz w:val="20"/>
                <w:szCs w:val="20"/>
              </w:rPr>
              <w:t xml:space="preserve">Nude Project grew from a dorm room to a globally recognized brand primarily through their YouTube podcast, not through the quality of their garments alone. They documented their journey — the failures, the first sales, the first store opening — in real time. Their audience grew with them. For HORO, this means the founders themselves are the brand's first and most authentic content asset.</w:t>
            </w:r>
          </w:p>
        </w:tc>
      </w:tr>
    </w:tbl>
    <w:p>
      <w:pPr>
        <w:pStyle w:val="Heading2"/>
        <w:spacing w:before="240" w:after="80"/>
      </w:pPr>
      <w:r>
        <w:rPr>
          <w:rFonts w:ascii="Arial" w:cs="Arial" w:eastAsia="Arial" w:hAnsi="Arial"/>
          <w:b/>
          <w:bCs/>
          <w:color w:val="1A1A1A"/>
          <w:sz w:val="26"/>
          <w:szCs w:val="26"/>
        </w:rPr>
        <w:t xml:space="preserve">Specific Recommendations</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Launch a weekly 'HORO Drop Journal' — a short (5–10 minute) video or long-form Instagram caption series documenting: which artist is coming next, why they were chosen, what the design means, and how the printing process works</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Tell the founding story explicitly: why did HORO start? What was the specific frustration with generic Egyptian print culture? Who are the founders and what do they personally wear? The Nude Project research shows this vulnerability is a feature, not a weakness</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Build a pre-drop anticipation mechanic: announce upcoming artist collaborations 2 weeks before launch, share sketches 1 week before, and reveal the final garment on drop day — this is the 'before, during, and after' palimpsest model Linfante documents</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If a podcast is feasible, the research suggests following the Nude Project model over the Chanel model: weekly, conversational, featuring Egyptian creatives, entrepreneurs, and artists — this positions HORO as a cultural platform, not just a t-shirt store</w:t>
      </w:r>
    </w:p>
    <w:p>
      <w:r>
        <w:br w:type="page"/>
      </w:r>
    </w:p>
    <w:p>
      <w:pPr>
        <w:pStyle w:val="Heading1"/>
        <w:pBdr>
          <w:bottom w:val="single" w:color="C4302B" w:sz="6" w:space="4"/>
        </w:pBdr>
        <w:spacing w:before="300" w:after="120"/>
      </w:pPr>
      <w:r>
        <w:rPr>
          <w:rFonts w:ascii="Arial" w:cs="Arial" w:eastAsia="Arial" w:hAnsi="Arial"/>
          <w:b/>
          <w:bCs/>
          <w:color w:val="1A1A1A"/>
          <w:sz w:val="32"/>
          <w:szCs w:val="32"/>
        </w:rPr>
        <w:t xml:space="preserve">7. Generative AI &amp; Creative Process Transparency</w:t>
      </w:r>
    </w:p>
    <w:p>
      <w:pPr>
        <w:pStyle w:val="Heading2"/>
        <w:spacing w:before="240" w:after="80"/>
      </w:pPr>
      <w:r>
        <w:rPr>
          <w:rFonts w:ascii="Arial" w:cs="Arial" w:eastAsia="Arial" w:hAnsi="Arial"/>
          <w:b/>
          <w:bCs/>
          <w:color w:val="1A1A1A"/>
          <w:sz w:val="26"/>
          <w:szCs w:val="26"/>
        </w:rPr>
        <w:t xml:space="preserve">What the Research Says</w:t>
      </w:r>
    </w:p>
    <w:p>
      <w:pPr>
        <w:spacing w:before="60" w:after="80"/>
        <w:jc w:val="both"/>
      </w:pPr>
      <w:r>
        <w:rPr>
          <w:rFonts w:ascii="Arial" w:cs="Arial" w:eastAsia="Arial" w:hAnsi="Arial"/>
          <w:b w:val="false"/>
          <w:bCs w:val="false"/>
          <w:i w:val="false"/>
          <w:iCs w:val="false"/>
          <w:color w:val="1A1A1A"/>
          <w:sz w:val="22"/>
          <w:szCs w:val="22"/>
        </w:rPr>
        <w:t xml:space="preserve">Rizzi and Vandi's paper on 'Synthetic Imaginaries' maps the growing role of Generative AI in fashion design across three functions: product development, communication, and retail. Their central argument — that 'AI-generated creativity can only be considered synthetic' and that 'shifting towards the collective creativity paradigm is necessary, emphasising collaboration between humans and algorithms' — has direct implications for artist-led fashion brands. The paper argues that GAI holds significant value 'in framing narratives and visuals that reflect brand identities, resonate with target audiences, and strengthen customer connections,' including copywriting, campaign photography, and personalization.</w:t>
      </w:r>
    </w:p>
    <w:p>
      <w:pPr>
        <w:spacing w:before="80" w:after="80"/>
      </w:pPr>
    </w:p>
    <w:p>
      <w:pPr>
        <w:spacing w:before="60" w:after="80"/>
        <w:jc w:val="both"/>
      </w:pPr>
      <w:r>
        <w:rPr>
          <w:rFonts w:ascii="Arial" w:cs="Arial" w:eastAsia="Arial" w:hAnsi="Arial"/>
          <w:b w:val="false"/>
          <w:bCs w:val="false"/>
          <w:i w:val="false"/>
          <w:iCs w:val="false"/>
          <w:color w:val="1A1A1A"/>
          <w:sz w:val="22"/>
          <w:szCs w:val="22"/>
        </w:rPr>
        <w:t xml:space="preserve">Crucially, however, the research consistently frames AI as medium, not creator: 'results generated by AI are inherently stochastic and only acquire meaning through human intervention.' The fashion industry cases documented show AI being used to extend human designers' vision — not replace it. This distinction becomes an authenticity and ethics concern: brands using GAI for design without disclosure risk consumer backlash in segments that value human artistry.</w:t>
      </w:r>
    </w:p>
    <w:p>
      <w:pPr>
        <w:pStyle w:val="Heading2"/>
        <w:spacing w:before="240" w:after="80"/>
      </w:pPr>
      <w:r>
        <w:rPr>
          <w:rFonts w:ascii="Arial" w:cs="Arial" w:eastAsia="Arial" w:hAnsi="Arial"/>
          <w:b/>
          <w:bCs/>
          <w:color w:val="1A1A1A"/>
          <w:sz w:val="26"/>
          <w:szCs w:val="26"/>
        </w:rPr>
        <w:t xml:space="preserve">HORO Website Assessment</w:t>
      </w:r>
    </w:p>
    <w:p>
      <w:pPr>
        <w:spacing w:before="60" w:after="80"/>
        <w:jc w:val="both"/>
      </w:pPr>
      <w:r>
        <w:rPr>
          <w:rFonts w:ascii="Arial" w:cs="Arial" w:eastAsia="Arial" w:hAnsi="Arial"/>
          <w:b w:val="false"/>
          <w:bCs w:val="false"/>
          <w:i w:val="false"/>
          <w:iCs w:val="false"/>
          <w:color w:val="1A1A1A"/>
          <w:sz w:val="22"/>
          <w:szCs w:val="22"/>
        </w:rPr>
        <w:t xml:space="preserve">HORO's product concept is explicitly human-artist-led, which aligns with the research's framework for premium positioning. The site displays three real artist names with brief style descriptors. However, there is no disclosure or visibility into the design and production process. Consumers cannot determine whether the designs on the site were created by the named artists, generated by AI with artist direction, or produced by some hybrid process.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4302B" w:val="clear"/>
            <w:tcMar>
              <w:top w:type="dxa" w:w="120"/>
              <w:left w:type="dxa" w:w="120"/>
              <w:bottom w:type="dxa" w:w="120"/>
              <w:right w:type="dxa" w:w="80"/>
            </w:tcMar>
          </w:tcPr>
          <w:p>
            <w:r>
              <w:rPr>
                <w:rFonts w:ascii="Arial" w:cs="Arial" w:eastAsia="Arial" w:hAnsi="Arial"/>
                <w:b w:val="false"/>
                <w:bCs w:val="false"/>
                <w:i w:val="false"/>
                <w:iCs w:val="false"/>
                <w:color w:val="FFFFFF"/>
                <w:sz w:val="22"/>
                <w:szCs w:val="22"/>
              </w:rPr>
              <w:t xml:space="preserve">▌</w:t>
            </w:r>
          </w:p>
        </w:tc>
        <w:tc>
          <w:tcPr>
            <w:tcW w:type="dxa" w:w="8800"/>
            <w:tcBorders>
              <w:top w:val="none" w:color="FFFFFF" w:sz="0"/>
              <w:left w:val="none" w:color="FFFFFF" w:sz="0"/>
              <w:bottom w:val="none" w:color="FFFFFF" w:sz="0"/>
              <w:right w:val="none" w:color="FFFFFF" w:sz="0"/>
            </w:tcBorders>
            <w:shd w:fill="FFF0F0" w:val="clear"/>
            <w:tcMar>
              <w:top w:type="dxa" w:w="120"/>
              <w:left w:type="dxa" w:w="200"/>
              <w:bottom w:type="dxa" w:w="120"/>
              <w:right w:type="dxa" w:w="160"/>
            </w:tcMar>
          </w:tcPr>
          <w:p>
            <w:pPr>
              <w:spacing w:before="0" w:after="40"/>
            </w:pPr>
            <w:r>
              <w:rPr>
                <w:rFonts w:ascii="Arial" w:cs="Arial" w:eastAsia="Arial" w:hAnsi="Arial"/>
                <w:b/>
                <w:bCs/>
                <w:i w:val="false"/>
                <w:iCs w:val="false"/>
                <w:color w:val="C4302B"/>
                <w:sz w:val="20"/>
                <w:szCs w:val="20"/>
              </w:rPr>
              <w:t xml:space="preserve">The Transparency Opportunity</w:t>
            </w:r>
          </w:p>
          <w:p>
            <w:pPr>
              <w:spacing w:before="0" w:after="0"/>
            </w:pPr>
            <w:r>
              <w:rPr>
                <w:rFonts w:ascii="Arial" w:cs="Arial" w:eastAsia="Arial" w:hAnsi="Arial"/>
                <w:b w:val="false"/>
                <w:bCs w:val="false"/>
                <w:i w:val="false"/>
                <w:iCs w:val="false"/>
                <w:color w:val="333333"/>
                <w:sz w:val="20"/>
                <w:szCs w:val="20"/>
              </w:rPr>
              <w:t xml:space="preserve">As the FACTUM 25 proceedings document, GAI is increasingly present across fashion's value chain. Brands that are transparent about their human-AI creative process — positioning AI as a tool in the artist's hands, not a replacement — can differentiate positively in a market that is beginning to ask these questions. Brands that are opaque risk backlash if their process is later discovered. For HORO, which stakes its entire premium on human artistic authenticity, this is not a peripheral concern.</w:t>
            </w:r>
          </w:p>
        </w:tc>
      </w:tr>
    </w:tbl>
    <w:p>
      <w:pPr>
        <w:pStyle w:val="Heading2"/>
        <w:spacing w:before="240" w:after="80"/>
      </w:pPr>
      <w:r>
        <w:rPr>
          <w:rFonts w:ascii="Arial" w:cs="Arial" w:eastAsia="Arial" w:hAnsi="Arial"/>
          <w:b/>
          <w:bCs/>
          <w:color w:val="1A1A1A"/>
          <w:sz w:val="26"/>
          <w:szCs w:val="26"/>
        </w:rPr>
        <w:t xml:space="preserve">Specific Recommendations</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Add a 'How we make it' process page that explicitly shows the human creative steps: artist brief → sketch → design → print test → final approval. This establishes the human creative chain regardless of what digital tools are used along the way</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If any AI tools are used in the design process (image generation, upscaling, color work), disclose this in the artist process documentation with context on the human creative direction involved — transparency here is a differentiator, not a weakness</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Use GAI strategically for communication (campaign copy, social captions, personalized product descriptions) rather than product design — the research supports this use case unambiguously and it does not compromise the authenticity of the core product</w:t>
      </w:r>
    </w:p>
    <w:p>
      <w:r>
        <w:br w:type="page"/>
      </w:r>
    </w:p>
    <w:p>
      <w:pPr>
        <w:pStyle w:val="Heading1"/>
        <w:pBdr>
          <w:bottom w:val="single" w:color="C4302B" w:sz="6" w:space="4"/>
        </w:pBdr>
        <w:spacing w:before="300" w:after="120"/>
      </w:pPr>
      <w:r>
        <w:rPr>
          <w:rFonts w:ascii="Arial" w:cs="Arial" w:eastAsia="Arial" w:hAnsi="Arial"/>
          <w:b/>
          <w:bCs/>
          <w:color w:val="1A1A1A"/>
          <w:sz w:val="32"/>
          <w:szCs w:val="32"/>
        </w:rPr>
        <w:t xml:space="preserve">8. Consolidated Findings &amp; Priority Action Plan</w:t>
      </w:r>
    </w:p>
    <w:p>
      <w:pPr>
        <w:pStyle w:val="Heading2"/>
        <w:spacing w:before="240" w:after="80"/>
      </w:pPr>
      <w:r>
        <w:rPr>
          <w:rFonts w:ascii="Arial" w:cs="Arial" w:eastAsia="Arial" w:hAnsi="Arial"/>
          <w:b/>
          <w:bCs/>
          <w:color w:val="1A1A1A"/>
          <w:sz w:val="26"/>
          <w:szCs w:val="26"/>
        </w:rPr>
        <w:t xml:space="preserve">What HORO Gets Right (Academically Validated)</w:t>
      </w:r>
    </w:p>
    <w:p>
      <w:pPr>
        <w:spacing w:before="60" w:after="80"/>
        <w:jc w:val="both"/>
      </w:pPr>
      <w:r>
        <w:rPr>
          <w:rFonts w:ascii="Arial" w:cs="Arial" w:eastAsia="Arial" w:hAnsi="Arial"/>
          <w:b w:val="false"/>
          <w:bCs w:val="false"/>
          <w:i w:val="false"/>
          <w:iCs w:val="false"/>
          <w:color w:val="1A1A1A"/>
          <w:sz w:val="22"/>
          <w:szCs w:val="22"/>
        </w:rPr>
        <w:t xml:space="preserve">Several of HORO's design choices are directly supported by the FACTUM 25 research and represent genuine strengths worth protecting:</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Theme-first navigation mapping to identity construction (Ledendal, Peng)</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Artist-collaboration model as competitive moat (Rizzi &amp; Vandi; Cross &amp; Steed)</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Identity language in product copy — 'Visions turned into reality', 'Find peace in the chaos' (Ledendal)</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Three-act narrative architecture (Linfante's palimpsest framework — structure is correct, content is missing)</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Gift positioning at culturally significant moments — Mother's Day and Eid (consistent with seasonal identity gifting research)</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Limited-drop model creating collection anticipation (consistent with palimpsest 'before and after' mechanics)</w:t>
      </w:r>
    </w:p>
    <w:p>
      <w:pPr>
        <w:pStyle w:val="ListParagraph"/>
        <w:numPr>
          <w:ilvl w:val="0"/>
          <w:numId w:val="2"/>
        </w:numPr>
        <w:spacing w:before="40" w:after="40"/>
        <w:ind w:left="360"/>
      </w:pPr>
      <w:r>
        <w:rPr>
          <w:rFonts w:ascii="Arial" w:cs="Arial" w:eastAsia="Arial" w:hAnsi="Arial"/>
          <w:b w:val="false"/>
          <w:bCs w:val="false"/>
          <w:i w:val="false"/>
          <w:iCs w:val="false"/>
          <w:color w:val="1A1A1A"/>
          <w:sz w:val="22"/>
          <w:szCs w:val="22"/>
        </w:rPr>
        <w:t xml:space="preserve">COD prominently featured, 14-day exchange visible (market-appropriate trust architecture)</w:t>
      </w:r>
    </w:p>
    <w:p>
      <w:pPr>
        <w:pStyle w:val="Heading2"/>
        <w:spacing w:before="240" w:after="80"/>
      </w:pPr>
      <w:r>
        <w:rPr>
          <w:rFonts w:ascii="Arial" w:cs="Arial" w:eastAsia="Arial" w:hAnsi="Arial"/>
          <w:b/>
          <w:bCs/>
          <w:color w:val="1A1A1A"/>
          <w:sz w:val="26"/>
          <w:szCs w:val="26"/>
        </w:rPr>
        <w:t xml:space="preserve">What Must Change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400"/>
        <w:gridCol w:w="3540"/>
        <w:gridCol w:w="3000"/>
      </w:tblGrid>
      <w:tr>
        <w:trPr>
          <w:tblHeader/>
        </w:trPr>
        <w:tc>
          <w:tcPr>
            <w:tcW w:type="dxa" w:w="4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pPr>
              <w:jc w:val="left"/>
            </w:pPr>
            <w:r>
              <w:rPr>
                <w:rFonts w:ascii="Arial" w:cs="Arial" w:eastAsia="Arial" w:hAnsi="Arial"/>
                <w:b/>
                <w:bCs/>
                <w:i w:val="false"/>
                <w:iCs w:val="false"/>
                <w:color w:val="FFFFFF"/>
                <w:sz w:val="20"/>
                <w:szCs w:val="20"/>
              </w:rPr>
              <w:t xml:space="preserve">#</w:t>
            </w:r>
          </w:p>
        </w:tc>
        <w:tc>
          <w:tcPr>
            <w:tcW w:type="dxa" w:w="2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pPr>
              <w:jc w:val="left"/>
            </w:pPr>
            <w:r>
              <w:rPr>
                <w:rFonts w:ascii="Arial" w:cs="Arial" w:eastAsia="Arial" w:hAnsi="Arial"/>
                <w:b/>
                <w:bCs/>
                <w:i w:val="false"/>
                <w:iCs w:val="false"/>
                <w:color w:val="FFFFFF"/>
                <w:sz w:val="20"/>
                <w:szCs w:val="20"/>
              </w:rPr>
              <w:t xml:space="preserve">Issue</w:t>
            </w:r>
          </w:p>
        </w:tc>
        <w:tc>
          <w:tcPr>
            <w:tcW w:type="dxa" w:w="354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pPr>
              <w:jc w:val="left"/>
            </w:pPr>
            <w:r>
              <w:rPr>
                <w:rFonts w:ascii="Arial" w:cs="Arial" w:eastAsia="Arial" w:hAnsi="Arial"/>
                <w:b/>
                <w:bCs/>
                <w:i w:val="false"/>
                <w:iCs w:val="false"/>
                <w:color w:val="FFFFFF"/>
                <w:sz w:val="20"/>
                <w:szCs w:val="20"/>
              </w:rPr>
              <w:t xml:space="preserve">FACTUM 25 Framework</w:t>
            </w:r>
          </w:p>
        </w:tc>
        <w:tc>
          <w:tcPr>
            <w:tcW w:type="dxa" w:w="3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80"/>
            </w:tcMar>
          </w:tcPr>
          <w:p>
            <w:pPr>
              <w:jc w:val="left"/>
            </w:pPr>
            <w:r>
              <w:rPr>
                <w:rFonts w:ascii="Arial" w:cs="Arial" w:eastAsia="Arial" w:hAnsi="Arial"/>
                <w:b/>
                <w:bCs/>
                <w:i w:val="false"/>
                <w:iCs w:val="false"/>
                <w:color w:val="FFFFFF"/>
                <w:sz w:val="20"/>
                <w:szCs w:val="20"/>
              </w:rPr>
              <w:t xml:space="preserve">Required Action</w:t>
            </w:r>
          </w:p>
        </w:tc>
      </w:tr>
      <w:tr>
        <w:tc>
          <w:tcPr>
            <w:tcW w:type="dxa" w:w="420"/>
            <w:tcBorders>
              <w:top w:val="single" w:color="DDDDDD" w:sz="1"/>
              <w:left w:val="single" w:color="DDDDDD" w:sz="1"/>
              <w:bottom w:val="single" w:color="DDDDDD" w:sz="1"/>
              <w:right w:val="single" w:color="DDDDDD" w:sz="1"/>
            </w:tcBorders>
            <w:shd w:fill="1A1A1A"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1</w:t>
            </w:r>
          </w:p>
        </w:tc>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bCs/>
                <w:i w:val="false"/>
                <w:iCs w:val="false"/>
                <w:color w:val="1A1A1A"/>
                <w:sz w:val="19"/>
                <w:szCs w:val="19"/>
              </w:rPr>
              <w:t xml:space="preserve">Real product photography — replace all Unsplash images</w:t>
            </w:r>
          </w:p>
        </w:tc>
        <w:tc>
          <w:tcPr>
            <w:tcW w:type="dxa" w:w="354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iCs/>
                <w:color w:val="666666"/>
                <w:sz w:val="18"/>
                <w:szCs w:val="18"/>
              </w:rPr>
              <w:t xml:space="preserve">Semiotics (Rizzi &amp; Vandi): visual sign system must align with verbal sign</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val="false"/>
                <w:iCs w:val="false"/>
                <w:color w:val="1A1A1A"/>
                <w:sz w:val="19"/>
                <w:szCs w:val="19"/>
              </w:rPr>
              <w:t xml:space="preserve">Shoot every product before any paid traffic. No exceptions.</w:t>
            </w:r>
          </w:p>
        </w:tc>
      </w:tr>
      <w:tr>
        <w:tc>
          <w:tcPr>
            <w:tcW w:type="dxa" w:w="420"/>
            <w:tcBorders>
              <w:top w:val="single" w:color="DDDDDD" w:sz="1"/>
              <w:left w:val="single" w:color="DDDDDD" w:sz="1"/>
              <w:bottom w:val="single" w:color="DDDDDD" w:sz="1"/>
              <w:right w:val="single" w:color="DDDDDD" w:sz="1"/>
            </w:tcBorders>
            <w:shd w:fill="1A1A1A"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2</w:t>
            </w:r>
          </w:p>
        </w:tc>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bCs/>
                <w:i w:val="false"/>
                <w:iCs w:val="false"/>
                <w:color w:val="1A1A1A"/>
                <w:sz w:val="19"/>
                <w:szCs w:val="19"/>
              </w:rPr>
              <w:t xml:space="preserve">Populate the Act I / II / III narrative scaffolding</w:t>
            </w:r>
          </w:p>
        </w:tc>
        <w:tc>
          <w:tcPr>
            <w:tcW w:type="dxa" w:w="354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iCs/>
                <w:color w:val="666666"/>
                <w:sz w:val="18"/>
                <w:szCs w:val="18"/>
              </w:rPr>
              <w:t xml:space="preserve">Palimpsest (Linfante): structure without content has no communicative value</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val="false"/>
                <w:iCs w:val="false"/>
                <w:color w:val="1A1A1A"/>
                <w:sz w:val="19"/>
                <w:szCs w:val="19"/>
              </w:rPr>
              <w:t xml:space="preserve">Write the brand manifesto; add artist process content; add community stories</w:t>
            </w:r>
          </w:p>
        </w:tc>
      </w:tr>
      <w:tr>
        <w:tc>
          <w:tcPr>
            <w:tcW w:type="dxa" w:w="420"/>
            <w:tcBorders>
              <w:top w:val="single" w:color="DDDDDD" w:sz="1"/>
              <w:left w:val="single" w:color="DDDDDD" w:sz="1"/>
              <w:bottom w:val="single" w:color="DDDDDD" w:sz="1"/>
              <w:right w:val="single" w:color="DDDDDD" w:sz="1"/>
            </w:tcBorders>
            <w:shd w:fill="1A1A1A"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3</w:t>
            </w:r>
          </w:p>
        </w:tc>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bCs/>
                <w:i w:val="false"/>
                <w:iCs w:val="false"/>
                <w:color w:val="1A1A1A"/>
                <w:sz w:val="19"/>
                <w:szCs w:val="19"/>
              </w:rPr>
              <w:t xml:space="preserve">Deepen artist profiles to maker-narrative depth</w:t>
            </w:r>
          </w:p>
        </w:tc>
        <w:tc>
          <w:tcPr>
            <w:tcW w:type="dxa" w:w="354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iCs/>
                <w:color w:val="666666"/>
                <w:sz w:val="18"/>
                <w:szCs w:val="18"/>
              </w:rPr>
              <w:t xml:space="preserve">Authenticity (Cross &amp; Steed): Harris Tweed model — maker visibility drives trust</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val="false"/>
                <w:iCs w:val="false"/>
                <w:color w:val="1A1A1A"/>
                <w:sz w:val="19"/>
                <w:szCs w:val="19"/>
              </w:rPr>
              <w:t xml:space="preserve">60-90s artist videos, social handles, process documentation, artist statements</w:t>
            </w:r>
          </w:p>
        </w:tc>
      </w:tr>
      <w:tr>
        <w:tc>
          <w:tcPr>
            <w:tcW w:type="dxa" w:w="420"/>
            <w:tcBorders>
              <w:top w:val="single" w:color="DDDDDD" w:sz="1"/>
              <w:left w:val="single" w:color="DDDDDD" w:sz="1"/>
              <w:bottom w:val="single" w:color="DDDDDD" w:sz="1"/>
              <w:right w:val="single" w:color="DDDDDD" w:sz="1"/>
            </w:tcBorders>
            <w:shd w:fill="1A1A1A"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4</w:t>
            </w:r>
          </w:p>
        </w:tc>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bCs/>
                <w:i w:val="false"/>
                <w:iCs w:val="false"/>
                <w:color w:val="1A1A1A"/>
                <w:sz w:val="19"/>
                <w:szCs w:val="19"/>
              </w:rPr>
              <w:t xml:space="preserve">Add social proof — reviews and real buyer content</w:t>
            </w:r>
          </w:p>
        </w:tc>
        <w:tc>
          <w:tcPr>
            <w:tcW w:type="dxa" w:w="354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iCs/>
                <w:color w:val="666666"/>
                <w:sz w:val="18"/>
                <w:szCs w:val="18"/>
              </w:rPr>
              <w:t xml:space="preserve">Mediatization (Sand, Linfante): UGC is the social-proof currency of fashion trust</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val="false"/>
                <w:iCs w:val="false"/>
                <w:color w:val="1A1A1A"/>
                <w:sz w:val="19"/>
                <w:szCs w:val="19"/>
              </w:rPr>
              <w:t xml:space="preserve">Seed 8-12 real buyer reviews with photos before launch</w:t>
            </w:r>
          </w:p>
        </w:tc>
      </w:tr>
      <w:tr>
        <w:tc>
          <w:tcPr>
            <w:tcW w:type="dxa" w:w="420"/>
            <w:tcBorders>
              <w:top w:val="single" w:color="DDDDDD" w:sz="1"/>
              <w:left w:val="single" w:color="DDDDDD" w:sz="1"/>
              <w:bottom w:val="single" w:color="DDDDDD" w:sz="1"/>
              <w:right w:val="single" w:color="DDDDDD" w:sz="1"/>
            </w:tcBorders>
            <w:shd w:fill="1A1A1A"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5</w:t>
            </w:r>
          </w:p>
        </w:tc>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bCs/>
                <w:i w:val="false"/>
                <w:iCs w:val="false"/>
                <w:color w:val="1A1A1A"/>
                <w:sz w:val="19"/>
                <w:szCs w:val="19"/>
              </w:rPr>
              <w:t xml:space="preserve">Build a weekly social content cadence</w:t>
            </w:r>
          </w:p>
        </w:tc>
        <w:tc>
          <w:tcPr>
            <w:tcW w:type="dxa" w:w="354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iCs/>
                <w:color w:val="666666"/>
                <w:sz w:val="18"/>
                <w:szCs w:val="18"/>
              </w:rPr>
              <w:t xml:space="preserve">Community (Gargoles &amp; Hiljding): Nude Project model — community before scale</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val="false"/>
                <w:iCs w:val="false"/>
                <w:color w:val="1A1A1A"/>
                <w:sz w:val="19"/>
                <w:szCs w:val="19"/>
              </w:rPr>
              <w:t xml:space="preserve">3 Instagram posts/week minimum: product detail, artist story, behind-scenes</w:t>
            </w:r>
          </w:p>
        </w:tc>
      </w:tr>
      <w:tr>
        <w:tc>
          <w:tcPr>
            <w:tcW w:type="dxa" w:w="420"/>
            <w:tcBorders>
              <w:top w:val="single" w:color="DDDDDD" w:sz="1"/>
              <w:left w:val="single" w:color="DDDDDD" w:sz="1"/>
              <w:bottom w:val="single" w:color="DDDDDD" w:sz="1"/>
              <w:right w:val="single" w:color="DDDDDD" w:sz="1"/>
            </w:tcBorders>
            <w:shd w:fill="1A1A1A"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6</w:t>
            </w:r>
          </w:p>
        </w:tc>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bCs/>
                <w:i w:val="false"/>
                <w:iCs w:val="false"/>
                <w:color w:val="1A1A1A"/>
                <w:sz w:val="19"/>
                <w:szCs w:val="19"/>
              </w:rPr>
              <w:t xml:space="preserve">Add identity activation mechanics to product pages</w:t>
            </w:r>
          </w:p>
        </w:tc>
        <w:tc>
          <w:tcPr>
            <w:tcW w:type="dxa" w:w="354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iCs/>
                <w:color w:val="666666"/>
                <w:sz w:val="18"/>
                <w:szCs w:val="18"/>
              </w:rPr>
              <w:t xml:space="preserve">Identity construction (Ledendal): brand must facilitate, not just declare, identity</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val="false"/>
                <w:iCs w:val="false"/>
                <w:color w:val="1A1A1A"/>
                <w:sz w:val="19"/>
                <w:szCs w:val="19"/>
              </w:rPr>
              <w:t xml:space="preserve">'This is me' UGC prompts, social share templates, themed community gallery</w:t>
            </w:r>
          </w:p>
        </w:tc>
      </w:tr>
      <w:tr>
        <w:tc>
          <w:tcPr>
            <w:tcW w:type="dxa" w:w="420"/>
            <w:tcBorders>
              <w:top w:val="single" w:color="DDDDDD" w:sz="1"/>
              <w:left w:val="single" w:color="DDDDDD" w:sz="1"/>
              <w:bottom w:val="single" w:color="DDDDDD" w:sz="1"/>
              <w:right w:val="single" w:color="DDDDDD" w:sz="1"/>
            </w:tcBorders>
            <w:shd w:fill="1A1A1A"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7</w:t>
            </w:r>
          </w:p>
        </w:tc>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bCs/>
                <w:i w:val="false"/>
                <w:iCs w:val="false"/>
                <w:color w:val="1A1A1A"/>
                <w:sz w:val="19"/>
                <w:szCs w:val="19"/>
              </w:rPr>
              <w:t xml:space="preserve">Integrate social commerce into the sales funnel</w:t>
            </w:r>
          </w:p>
        </w:tc>
        <w:tc>
          <w:tcPr>
            <w:tcW w:type="dxa" w:w="354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iCs/>
                <w:color w:val="666666"/>
                <w:sz w:val="18"/>
                <w:szCs w:val="18"/>
              </w:rPr>
              <w:t xml:space="preserve">Mediatization (Linfante): 1080px is the primary design unit, not the website</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val="false"/>
                <w:iCs w:val="false"/>
                <w:color w:val="1A1A1A"/>
                <w:sz w:val="19"/>
                <w:szCs w:val="19"/>
              </w:rPr>
              <w:t xml:space="preserve">Facebook Shop catalog, WhatsApp ordering flow, shoppable Instagram</w:t>
            </w:r>
          </w:p>
        </w:tc>
      </w:tr>
      <w:tr>
        <w:tc>
          <w:tcPr>
            <w:tcW w:type="dxa" w:w="420"/>
            <w:tcBorders>
              <w:top w:val="single" w:color="DDDDDD" w:sz="1"/>
              <w:left w:val="single" w:color="DDDDDD" w:sz="1"/>
              <w:bottom w:val="single" w:color="DDDDDD" w:sz="1"/>
              <w:right w:val="single" w:color="DDDDDD" w:sz="1"/>
            </w:tcBorders>
            <w:shd w:fill="1A1A1A"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2"/>
                <w:szCs w:val="22"/>
              </w:rPr>
              <w:t xml:space="preserve">8</w:t>
            </w:r>
          </w:p>
        </w:tc>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bCs/>
                <w:i w:val="false"/>
                <w:iCs w:val="false"/>
                <w:color w:val="1A1A1A"/>
                <w:sz w:val="19"/>
                <w:szCs w:val="19"/>
              </w:rPr>
              <w:t xml:space="preserve">Establish Arabic-language trust content</w:t>
            </w:r>
          </w:p>
        </w:tc>
        <w:tc>
          <w:tcPr>
            <w:tcW w:type="dxa" w:w="354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iCs/>
                <w:color w:val="666666"/>
                <w:sz w:val="18"/>
                <w:szCs w:val="18"/>
              </w:rPr>
              <w:t xml:space="preserve">Market reality: COD-dominant, trust-sensitive Egyptian consumer base</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80"/>
            </w:tcMar>
          </w:tcPr>
          <w:p>
            <w:r>
              <w:rPr>
                <w:rFonts w:ascii="Arial" w:cs="Arial" w:eastAsia="Arial" w:hAnsi="Arial"/>
                <w:b w:val="false"/>
                <w:bCs w:val="false"/>
                <w:i w:val="false"/>
                <w:iCs w:val="false"/>
                <w:color w:val="1A1A1A"/>
                <w:sz w:val="19"/>
                <w:szCs w:val="19"/>
              </w:rPr>
              <w:t xml:space="preserve">Translate exchange policy, FAQ, and hero messaging into Arabic as priority</w:t>
            </w:r>
          </w:p>
        </w:tc>
      </w:tr>
    </w:tbl>
    <w:p>
      <w:pPr>
        <w:spacing w:before="200" w:after="80"/>
      </w:pPr>
    </w:p>
    <w:p>
      <w:pPr>
        <w:pStyle w:val="Heading2"/>
        <w:spacing w:before="240" w:after="80"/>
      </w:pPr>
      <w:r>
        <w:rPr>
          <w:rFonts w:ascii="Arial" w:cs="Arial" w:eastAsia="Arial" w:hAnsi="Arial"/>
          <w:b/>
          <w:bCs/>
          <w:color w:val="1A1A1A"/>
          <w:sz w:val="26"/>
          <w:szCs w:val="26"/>
        </w:rPr>
        <w:t xml:space="preserve">Final Assessment</w:t>
      </w:r>
    </w:p>
    <w:p>
      <w:pPr>
        <w:spacing w:before="60" w:after="80"/>
        <w:jc w:val="both"/>
      </w:pPr>
      <w:r>
        <w:rPr>
          <w:rFonts w:ascii="Arial" w:cs="Arial" w:eastAsia="Arial" w:hAnsi="Arial"/>
          <w:b w:val="false"/>
          <w:bCs w:val="false"/>
          <w:i w:val="false"/>
          <w:iCs w:val="false"/>
          <w:color w:val="1A1A1A"/>
          <w:sz w:val="22"/>
          <w:szCs w:val="22"/>
        </w:rPr>
        <w:t xml:space="preserve">The FACTUM 25 proceedings document a global fashion industry moving toward exactly what HORO is attempting: artist-led, meaning-driven, identity-first apparel communicated through layered digital storytelling. The concept is not just commercially viable — it is academically validated as the direction that differentiates premium fashion brands from commodity producers in the digital age.</w:t>
      </w:r>
    </w:p>
    <w:p>
      <w:pPr>
        <w:spacing w:before="80" w:after="80"/>
      </w:pPr>
    </w:p>
    <w:p>
      <w:pPr>
        <w:spacing w:before="60" w:after="80"/>
        <w:jc w:val="both"/>
      </w:pPr>
      <w:r>
        <w:rPr>
          <w:rFonts w:ascii="Arial" w:cs="Arial" w:eastAsia="Arial" w:hAnsi="Arial"/>
          <w:b w:val="false"/>
          <w:bCs w:val="false"/>
          <w:i w:val="false"/>
          <w:iCs w:val="false"/>
          <w:color w:val="1A1A1A"/>
          <w:sz w:val="22"/>
          <w:szCs w:val="22"/>
        </w:rPr>
        <w:t xml:space="preserve">The gap between HORO's concept quality and its current website execution is wide. The academic literature is consistent: in fashion, the communication system is inseparable from the product. A garment without a credible story, a visible maker, a social proof structure, and a content cadence is, from the consumer's perspective, indistinguishable from a generic printed tee — regardless of the actual quality difference. HORO must build the communication system with the same urgency it brings to the product.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4302B" w:val="clear"/>
            <w:tcMar>
              <w:top w:type="dxa" w:w="120"/>
              <w:left w:type="dxa" w:w="120"/>
              <w:bottom w:type="dxa" w:w="120"/>
              <w:right w:type="dxa" w:w="80"/>
            </w:tcMar>
          </w:tcPr>
          <w:p>
            <w:r>
              <w:rPr>
                <w:rFonts w:ascii="Arial" w:cs="Arial" w:eastAsia="Arial" w:hAnsi="Arial"/>
                <w:b w:val="false"/>
                <w:bCs w:val="false"/>
                <w:i w:val="false"/>
                <w:iCs w:val="false"/>
                <w:color w:val="FFFFFF"/>
                <w:sz w:val="22"/>
                <w:szCs w:val="22"/>
              </w:rPr>
              <w:t xml:space="preserve">▌</w:t>
            </w:r>
          </w:p>
        </w:tc>
        <w:tc>
          <w:tcPr>
            <w:tcW w:type="dxa" w:w="880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pPr>
              <w:spacing w:before="0" w:after="40"/>
            </w:pPr>
            <w:r>
              <w:rPr>
                <w:rFonts w:ascii="Arial" w:cs="Arial" w:eastAsia="Arial" w:hAnsi="Arial"/>
                <w:b/>
                <w:bCs/>
                <w:i w:val="false"/>
                <w:iCs w:val="false"/>
                <w:color w:val="C4302B"/>
                <w:sz w:val="20"/>
                <w:szCs w:val="20"/>
              </w:rPr>
              <w:t xml:space="preserve">Closing Principle</w:t>
            </w:r>
          </w:p>
          <w:p>
            <w:pPr>
              <w:spacing w:before="0" w:after="0"/>
            </w:pPr>
            <w:r>
              <w:rPr>
                <w:rFonts w:ascii="Arial" w:cs="Arial" w:eastAsia="Arial" w:hAnsi="Arial"/>
                <w:b w:val="false"/>
                <w:bCs w:val="false"/>
                <w:i w:val="false"/>
                <w:iCs w:val="false"/>
                <w:color w:val="333333"/>
                <w:sz w:val="20"/>
                <w:szCs w:val="20"/>
              </w:rPr>
              <w:t xml:space="preserve">Harris Tweed, Nude Project, and Off-White all demonstrated the same truth: it is not the garment alone that commands a premium — it is the credibility of the story it carries, told consistently, across every touchpoint, by every person who made it.</w:t>
            </w:r>
          </w:p>
        </w:tc>
      </w:tr>
    </w:tbl>
    <w:p>
      <w:pPr>
        <w:spacing w:before="160" w:after="80"/>
      </w:pPr>
    </w:p>
    <w:p>
      <w:pPr>
        <w:pBdr>
          <w:bottom w:val="single" w:color="DDDDDD" w:sz="2" w:space="1"/>
        </w:pBdr>
        <w:spacing w:before="120" w:after="120"/>
      </w:pPr>
      <w:r>
        <w:rPr>
          <w:rFonts w:ascii="Arial" w:cs="Arial" w:eastAsia="Arial" w:hAnsi="Arial"/>
          <w:b w:val="false"/>
          <w:bCs w:val="false"/>
          <w:i w:val="false"/>
          <w:iCs w:val="false"/>
          <w:color w:val="1A1A1A"/>
          <w:sz w:val="22"/>
          <w:szCs w:val="22"/>
        </w:rPr>
        <w:t xml:space="preserve"/>
      </w:r>
    </w:p>
    <w:p>
      <w:pPr>
        <w:spacing w:before="80" w:after="0"/>
      </w:pPr>
      <w:r>
        <w:rPr>
          <w:rFonts w:ascii="Arial" w:cs="Arial" w:eastAsia="Arial" w:hAnsi="Arial"/>
          <w:b w:val="false"/>
          <w:bCs w:val="false"/>
          <w:i/>
          <w:iCs/>
          <w:color w:val="666666"/>
          <w:sz w:val="18"/>
          <w:szCs w:val="18"/>
        </w:rPr>
        <w:t xml:space="preserve">References: Proceedings of the FACTUM 25 Conference 'Fashion Communication in the Digital Age', Stockholm, Sweden, 2025. Eds. von Wachenfeldt, Cantoni, Sabatini, Sádaba. Springer Proceedings in Business and Economics. ISBN 978-3-031-99481-4. Open Access, CC BY 4.0.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A1A1A"/>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A1A1A"/>
      <w:sz w:val="26"/>
      <w:szCs w:val="26"/>
    </w:rPr>
  </w:style>
  <w:style w:type="paragraph" w:styleId="Heading3">
    <w:name w:val="Heading 3"/>
    <w:basedOn w:val="Normal"/>
    <w:next w:val="Normal"/>
    <w:qFormat/>
    <w:pPr>
      <w:spacing w:before="180" w:after="60"/>
      <w:outlineLvl w:val="2"/>
    </w:pPr>
    <w:rPr>
      <w:rFonts w:ascii="Arial" w:cs="Arial" w:eastAsia="Arial" w:hAnsi="Arial"/>
      <w:b/>
      <w:bCs/>
      <w:color w:val="C430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2026-03-05T00:45:28.006Z</dcterms:created>
  <dcterms:modified xsi:type="dcterms:W3CDTF">2026-03-05T00:45:28.007Z</dcterms:modified>
</cp:coreProperties>
</file>

<file path=docProps/custom.xml><?xml version="1.0" encoding="utf-8"?>
<Properties xmlns="http://schemas.openxmlformats.org/officeDocument/2006/custom-properties" xmlns:vt="http://schemas.openxmlformats.org/officeDocument/2006/docPropsVTypes"/>
</file>