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w:hAnsi="Aptos"/>
          <w:b/>
          <w:i w:val="0"/>
          <w:color w:val="2E2328"/>
          <w:sz w:val="36"/>
        </w:rPr>
        <w:t xml:space="preserve">HORO Lean Internal Brand Alignment Playbook </w:t>
      </w:r>
      <w:r>
        <w:rPr>
          <w:rFonts w:ascii="Aptos" w:hAnsi="Aptos"/>
          <w:b/>
          <w:i w:val="0"/>
          <w:color w:val="7A5A68"/>
          <w:sz w:val="36"/>
        </w:rPr>
        <w:t>V1.2</w:t>
      </w:r>
    </w:p>
    <w:p>
      <w:pPr>
        <w:spacing w:after="60"/>
      </w:pPr>
      <w:r>
        <w:rPr>
          <w:rFonts w:ascii="Aptos" w:hAnsi="Aptos"/>
          <w:b/>
          <w:i w:val="0"/>
          <w:color w:val="6A4B58"/>
          <w:sz w:val="19"/>
        </w:rPr>
        <w:t xml:space="preserve">Internal mantra: </w:t>
      </w:r>
      <w:r>
        <w:rPr>
          <w:rFonts w:ascii="Aptos" w:hAnsi="Aptos"/>
          <w:b w:val="0"/>
          <w:i w:val="0"/>
          <w:color w:val="222222"/>
          <w:sz w:val="19"/>
        </w:rPr>
        <w:t>Wear and Share Identity Through Art.</w:t>
      </w:r>
    </w:p>
    <w:p>
      <w:pPr>
        <w:spacing w:after="60"/>
      </w:pPr>
      <w:r>
        <w:rPr>
          <w:rFonts w:ascii="Aptos" w:hAnsi="Aptos"/>
          <w:b w:val="0"/>
          <w:i w:val="0"/>
          <w:color w:val="555555"/>
          <w:sz w:val="17"/>
        </w:rPr>
        <w:t>Use this as the team’s daily filter before launch. Built for a 3–5 person startup where everyone may touch product, content, support, and orders.</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096"/>
        <w:gridCol w:w="2880"/>
        <w:gridCol w:w="2808"/>
      </w:tblGrid>
      <w:tr>
        <w:tc>
          <w:tcPr>
            <w:tcW w:type="dxa" w:w="4800"/>
            <w:shd w:fill="6A4B58"/>
            <w:tcMar>
              <w:top w:w="30" w:type="dxa"/>
              <w:start w:w="75" w:type="dxa"/>
              <w:bottom w:w="30" w:type="dxa"/>
              <w:end w:w="75" w:type="dxa"/>
            </w:tcMar>
          </w:tcPr>
          <w:p>
            <w:pPr>
              <w:jc w:val="center"/>
            </w:pPr>
            <w:r>
              <w:rPr>
                <w:rFonts w:ascii="Aptos" w:hAnsi="Aptos"/>
                <w:b/>
                <w:i w:val="0"/>
                <w:color w:val="FFFFFF"/>
                <w:sz w:val="17"/>
              </w:rPr>
              <w:t>Small team</w:t>
            </w:r>
          </w:p>
        </w:tc>
        <w:tc>
          <w:tcPr>
            <w:tcW w:type="dxa" w:w="4800"/>
            <w:shd w:fill="6A4B58"/>
            <w:tcMar>
              <w:top w:w="30" w:type="dxa"/>
              <w:start w:w="75" w:type="dxa"/>
              <w:bottom w:w="30" w:type="dxa"/>
              <w:end w:w="75" w:type="dxa"/>
            </w:tcMar>
          </w:tcPr>
          <w:p>
            <w:pPr>
              <w:jc w:val="center"/>
            </w:pPr>
            <w:r>
              <w:rPr>
                <w:rFonts w:ascii="Aptos" w:hAnsi="Aptos"/>
                <w:b/>
                <w:i w:val="0"/>
                <w:color w:val="FFFFFF"/>
                <w:sz w:val="17"/>
              </w:rPr>
              <w:t>Fast decisions</w:t>
            </w:r>
          </w:p>
        </w:tc>
        <w:tc>
          <w:tcPr>
            <w:tcW w:type="dxa" w:w="4800"/>
            <w:shd w:fill="6A4B58"/>
            <w:tcMar>
              <w:top w:w="30" w:type="dxa"/>
              <w:start w:w="75" w:type="dxa"/>
              <w:bottom w:w="30" w:type="dxa"/>
              <w:end w:w="75" w:type="dxa"/>
            </w:tcMar>
          </w:tcPr>
          <w:p>
            <w:pPr>
              <w:jc w:val="center"/>
            </w:pPr>
            <w:r>
              <w:rPr>
                <w:rFonts w:ascii="Aptos" w:hAnsi="Aptos"/>
                <w:b/>
                <w:i w:val="0"/>
                <w:color w:val="FFFFFF"/>
                <w:sz w:val="17"/>
              </w:rPr>
              <w:t>Informal routines</w:t>
            </w:r>
          </w:p>
        </w:tc>
      </w:tr>
    </w:tbl>
    <w:p>
      <w:pPr>
        <w:spacing w:after="40"/>
      </w:pP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488"/>
        <w:gridCol w:w="7488"/>
      </w:tblGrid>
      <w:tr>
        <w:tc>
          <w:tcPr>
            <w:tcW w:type="dxa" w:w="7200"/>
            <w:tcMar>
              <w:top w:w="15" w:type="dxa"/>
              <w:start w:w="25" w:type="dxa"/>
              <w:bottom w:w="15" w:type="dxa"/>
              <w:end w:w="25" w:type="dxa"/>
            </w:tcMar>
          </w:tcP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tblGrid>
            <w:tr>
              <w:tc>
                <w:tcPr>
                  <w:tcW w:type="dxa" w:w="7200"/>
                  <w:shd w:fill="6A4B58"/>
                  <w:tcMar>
                    <w:top w:w="50" w:type="dxa"/>
                    <w:start w:w="95" w:type="dxa"/>
                    <w:bottom w:w="50" w:type="dxa"/>
                    <w:end w:w="95" w:type="dxa"/>
                  </w:tcMar>
                </w:tcPr>
                <w:p>
                  <w:r>
                    <w:rPr>
                      <w:rFonts w:ascii="Aptos" w:hAnsi="Aptos"/>
                      <w:b/>
                      <w:i w:val="0"/>
                      <w:color w:val="FFFFFF"/>
                      <w:sz w:val="22"/>
                    </w:rPr>
                    <w:t>SECTION 1 · THE CASUAL KICKOFF</w:t>
                  </w:r>
                </w:p>
              </w:tc>
            </w:tr>
          </w:tbl>
          <w:p/>
          <w:p>
            <w:pPr>
              <w:spacing w:after="60"/>
            </w:pPr>
            <w:r>
              <w:rPr>
                <w:rFonts w:ascii="Aptos" w:hAnsi="Aptos"/>
                <w:b w:val="0"/>
                <w:i/>
                <w:color w:val="666666"/>
                <w:sz w:val="17"/>
              </w:rPr>
              <w:t>The “Pop-Up Gallery Hangout”</w:t>
            </w:r>
          </w:p>
          <w:p>
            <w:pPr>
              <w:spacing w:after="20"/>
            </w:pPr>
            <w:r>
              <w:rPr>
                <w:rFonts w:ascii="Aptos" w:hAnsi="Aptos"/>
                <w:b/>
                <w:i w:val="0"/>
                <w:color w:val="222222"/>
                <w:sz w:val="18"/>
              </w:rPr>
              <w:t xml:space="preserve">Format: </w:t>
            </w:r>
            <w:r>
              <w:rPr>
                <w:rFonts w:ascii="Aptos" w:hAnsi="Aptos"/>
                <w:b w:val="0"/>
                <w:i w:val="0"/>
                <w:color w:val="222222"/>
                <w:sz w:val="18"/>
              </w:rPr>
              <w:t xml:space="preserve">90-minute studio lunch + wall jam. </w:t>
            </w:r>
            <w:r>
              <w:rPr>
                <w:rFonts w:ascii="Aptos" w:hAnsi="Aptos"/>
                <w:b/>
                <w:i w:val="0"/>
                <w:color w:val="222222"/>
                <w:sz w:val="18"/>
              </w:rPr>
              <w:t xml:space="preserve">Rule: </w:t>
            </w:r>
            <w:r>
              <w:rPr>
                <w:rFonts w:ascii="Aptos" w:hAnsi="Aptos"/>
                <w:b w:val="0"/>
                <w:i w:val="0"/>
                <w:color w:val="222222"/>
                <w:sz w:val="18"/>
              </w:rPr>
              <w:t>Laptops stay closed for the first half.</w:t>
            </w:r>
          </w:p>
          <w:p>
            <w:pPr>
              <w:spacing w:after="20"/>
            </w:pPr>
            <w:r>
              <w:rPr>
                <w:rFonts w:ascii="Aptos" w:hAnsi="Aptos"/>
                <w:b/>
                <w:i w:val="0"/>
                <w:color w:val="222222"/>
                <w:sz w:val="18"/>
              </w:rPr>
              <w:t xml:space="preserve">Goal: </w:t>
            </w:r>
            <w:r>
              <w:rPr>
                <w:rFonts w:ascii="Aptos" w:hAnsi="Aptos"/>
                <w:b w:val="0"/>
                <w:i w:val="0"/>
                <w:color w:val="222222"/>
                <w:sz w:val="18"/>
              </w:rPr>
              <w:t>Help the team feel what HORO is before they try to describe it.</w:t>
            </w:r>
          </w:p>
          <w:p>
            <w:pPr>
              <w:pStyle w:val="ListBullet"/>
              <w:spacing w:after="20" w:line="240" w:lineRule="auto"/>
            </w:pPr>
            <w:r>
              <w:rPr>
                <w:rFonts w:ascii="Aptos" w:hAnsi="Aptos"/>
                <w:b w:val="0"/>
                <w:i w:val="0"/>
                <w:color w:val="222222"/>
                <w:sz w:val="17"/>
              </w:rPr>
              <w:t>Print product references, competitor screenshots, packaging examples, and sample captions or customer messages. Tape them to the wall.</w:t>
            </w:r>
          </w:p>
          <w:p>
            <w:pPr>
              <w:pStyle w:val="ListBullet"/>
              <w:spacing w:after="20" w:line="240" w:lineRule="auto"/>
            </w:pPr>
            <w:r>
              <w:rPr>
                <w:rFonts w:ascii="Aptos" w:hAnsi="Aptos"/>
                <w:b w:val="0"/>
                <w:i w:val="0"/>
                <w:color w:val="222222"/>
                <w:sz w:val="17"/>
              </w:rPr>
              <w:t>Split everything into “Feels like HORO” and “Not HORO.” Discuss why, not just what.</w:t>
            </w:r>
          </w:p>
          <w:p>
            <w:pPr>
              <w:pStyle w:val="ListBullet"/>
              <w:spacing w:after="20" w:line="240" w:lineRule="auto"/>
            </w:pPr>
            <w:r>
              <w:rPr>
                <w:rFonts w:ascii="Aptos" w:hAnsi="Aptos"/>
                <w:b w:val="0"/>
                <w:i w:val="0"/>
                <w:color w:val="222222"/>
                <w:sz w:val="17"/>
              </w:rPr>
              <w:t>Meet the personas: Omar, Salma, and Youssef. Ask what each one fears going wrong.</w:t>
            </w:r>
          </w:p>
          <w:p>
            <w:pPr>
              <w:pStyle w:val="ListBullet"/>
              <w:spacing w:after="20" w:line="240" w:lineRule="auto"/>
            </w:pPr>
            <w:r>
              <w:rPr>
                <w:rFonts w:ascii="Aptos" w:hAnsi="Aptos"/>
                <w:b w:val="0"/>
                <w:i w:val="0"/>
                <w:color w:val="222222"/>
                <w:sz w:val="17"/>
              </w:rPr>
              <w:t>Force trade-offs around sizing anxiety, cheap packaging, vague artist credit, delivery delays, and anything that makes HORO feel like a print shop.</w:t>
            </w:r>
          </w:p>
          <w:p>
            <w:pPr>
              <w:pStyle w:val="ListBullet"/>
              <w:spacing w:after="20" w:line="240" w:lineRule="auto"/>
            </w:pPr>
            <w:r>
              <w:rPr>
                <w:rFonts w:ascii="Aptos" w:hAnsi="Aptos"/>
                <w:b w:val="0"/>
                <w:i w:val="0"/>
                <w:color w:val="222222"/>
                <w:sz w:val="17"/>
              </w:rPr>
              <w:t>Output: one shared note defining what HORO must never become — a cheap print shop, a vague art brand, or a cold premium label.</w:t>
            </w:r>
          </w:p>
          <w:tbl>
            <w:tblPr>
              <w:tblW w:type="auto" w:w="0"/>
              <w:tblLook w:firstColumn="1" w:firstRow="1" w:lastColumn="0" w:lastRow="0" w:noHBand="0" w:noVBand="1" w:val="04A0"/>
              <w:tblBorders>
                <w:top w:val="single" w:sz="6" w:space="0" w:color="D8C9CF"/>
                <w:left w:val="single" w:sz="6" w:space="0" w:color="D8C9CF"/>
                <w:bottom w:val="single" w:sz="6" w:space="0" w:color="D8C9CF"/>
                <w:right w:val="single" w:sz="6" w:space="0" w:color="D8C9CF"/>
                <w:insideH w:val="single" w:sz="6" w:space="0" w:color="D8C9CF"/>
                <w:insideV w:val="single" w:sz="6" w:space="0" w:color="D8C9CF"/>
              </w:tblBorders>
            </w:tblPr>
            <w:tblGrid>
              <w:gridCol w:w="7200"/>
            </w:tblGrid>
            <w:tr>
              <w:tc>
                <w:tcPr>
                  <w:tcW w:type="dxa" w:w="7200"/>
                  <w:shd w:fill="F8F3F5"/>
                  <w:tcMar>
                    <w:top w:w="38" w:type="dxa"/>
                    <w:start w:w="80" w:type="dxa"/>
                    <w:bottom w:w="38" w:type="dxa"/>
                    <w:end w:w="80" w:type="dxa"/>
                  </w:tcMar>
                </w:tcPr>
                <w:p>
                  <w:r>
                    <w:rPr>
                      <w:rFonts w:ascii="Aptos" w:hAnsi="Aptos"/>
                      <w:b/>
                      <w:i w:val="0"/>
                      <w:color w:val="6A4B58"/>
                      <w:sz w:val="17"/>
                    </w:rPr>
                    <w:t xml:space="preserve">Team question to keep using after launch: </w:t>
                  </w:r>
                  <w:r>
                    <w:rPr>
                      <w:rFonts w:ascii="Aptos" w:hAnsi="Aptos"/>
                      <w:b w:val="0"/>
                      <w:i w:val="0"/>
                      <w:color w:val="222222"/>
                      <w:sz w:val="17"/>
                    </w:rPr>
                    <w:t>What would Omar, Salma, or Youssef worry about first if this reached them today?</w:t>
                  </w:r>
                </w:p>
              </w:tc>
            </w:tr>
          </w:tbl>
          <w:p/>
        </w:tc>
        <w:tc>
          <w:tcPr>
            <w:tcW w:type="dxa" w:w="7200"/>
            <w:tcMar>
              <w:top w:w="15" w:type="dxa"/>
              <w:start w:w="25" w:type="dxa"/>
              <w:bottom w:w="15" w:type="dxa"/>
              <w:end w:w="25" w:type="dxa"/>
            </w:tcMar>
          </w:tcP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tblGrid>
            <w:tr>
              <w:tc>
                <w:tcPr>
                  <w:tcW w:type="dxa" w:w="7200"/>
                  <w:shd w:fill="6A4B58"/>
                  <w:tcMar>
                    <w:top w:w="50" w:type="dxa"/>
                    <w:start w:w="95" w:type="dxa"/>
                    <w:bottom w:w="50" w:type="dxa"/>
                    <w:end w:w="95" w:type="dxa"/>
                  </w:tcMar>
                </w:tcPr>
                <w:p>
                  <w:r>
                    <w:rPr>
                      <w:rFonts w:ascii="Aptos" w:hAnsi="Aptos"/>
                      <w:b/>
                      <w:i w:val="0"/>
                      <w:color w:val="FFFFFF"/>
                      <w:sz w:val="22"/>
                    </w:rPr>
                    <w:t>SECTION 2 · THE ONE-PAGE BRAND MANIFESTO</w:t>
                  </w:r>
                </w:p>
              </w:tc>
            </w:tr>
          </w:tbl>
          <w:p/>
          <w:p>
            <w:pPr>
              <w:spacing w:after="40"/>
            </w:pPr>
            <w:r>
              <w:rPr>
                <w:rFonts w:ascii="Aptos" w:hAnsi="Aptos"/>
                <w:b/>
                <w:i w:val="0"/>
                <w:color w:val="222222"/>
                <w:sz w:val="18"/>
              </w:rPr>
              <w:t xml:space="preserve">Belief: </w:t>
            </w:r>
            <w:r>
              <w:rPr>
                <w:rFonts w:ascii="Aptos" w:hAnsi="Aptos"/>
                <w:b w:val="0"/>
                <w:i w:val="0"/>
                <w:color w:val="222222"/>
                <w:sz w:val="18"/>
              </w:rPr>
              <w:t>HORO turns artist-made illustration into something personal, wearable, and gift-worthy. We are not selling generic prints.</w:t>
            </w:r>
          </w:p>
          <w:tbl>
            <w:tblPr>
              <w:tblW w:type="auto" w:w="0"/>
              <w:jc w:val="left"/>
              <w:tblLayout w:type="fixed"/>
              <w:tblLook w:firstColumn="1" w:firstRow="1" w:lastColumn="0" w:lastRow="0" w:noHBand="0" w:noVBand="1" w:val="04A0"/>
              <w:tblBorders>
                <w:top w:val="single" w:sz="6" w:space="0" w:color="D9CCD1"/>
                <w:left w:val="single" w:sz="6" w:space="0" w:color="D9CCD1"/>
                <w:bottom w:val="single" w:sz="6" w:space="0" w:color="D9CCD1"/>
                <w:right w:val="single" w:sz="6" w:space="0" w:color="D9CCD1"/>
                <w:insideH w:val="single" w:sz="6" w:space="0" w:color="D9CCD1"/>
                <w:insideV w:val="single" w:sz="6" w:space="0" w:color="D9CCD1"/>
              </w:tblBorders>
            </w:tblPr>
            <w:tblGrid>
              <w:gridCol w:w="3341"/>
              <w:gridCol w:w="3485"/>
            </w:tblGrid>
            <w:tr>
              <w:tc>
                <w:tcPr>
                  <w:tcW w:type="dxa" w:w="3600"/>
                  <w:shd w:fill="EDE2E7"/>
                  <w:tcMar>
                    <w:top w:w="35" w:type="dxa"/>
                    <w:start w:w="65" w:type="dxa"/>
                    <w:bottom w:w="35" w:type="dxa"/>
                    <w:end w:w="65" w:type="dxa"/>
                  </w:tcMar>
                </w:tcPr>
                <w:p>
                  <w:pPr>
                    <w:jc w:val="center"/>
                  </w:pPr>
                  <w:r>
                    <w:rPr>
                      <w:rFonts w:ascii="Aptos" w:hAnsi="Aptos"/>
                      <w:b/>
                      <w:i w:val="0"/>
                      <w:color w:val="6A4B58"/>
                      <w:sz w:val="16"/>
                    </w:rPr>
                    <w:t>DO</w:t>
                  </w:r>
                </w:p>
              </w:tc>
              <w:tc>
                <w:tcPr>
                  <w:tcW w:type="dxa" w:w="3600"/>
                  <w:shd w:fill="EDE2E7"/>
                  <w:tcMar>
                    <w:top w:w="35" w:type="dxa"/>
                    <w:start w:w="65" w:type="dxa"/>
                    <w:bottom w:w="35" w:type="dxa"/>
                    <w:end w:w="65" w:type="dxa"/>
                  </w:tcMar>
                </w:tcPr>
                <w:p>
                  <w:pPr>
                    <w:jc w:val="center"/>
                  </w:pPr>
                  <w:r>
                    <w:rPr>
                      <w:rFonts w:ascii="Aptos" w:hAnsi="Aptos"/>
                      <w:b/>
                      <w:i w:val="0"/>
                      <w:color w:val="6A4B58"/>
                      <w:sz w:val="16"/>
                    </w:rPr>
                    <w:t>DON’T</w:t>
                  </w:r>
                </w:p>
              </w:tc>
            </w:tr>
            <w:tr>
              <w:tc>
                <w:tcPr>
                  <w:tcW w:type="dxa" w:w="3600"/>
                  <w:tcMar>
                    <w:top w:w="40" w:type="dxa"/>
                    <w:start w:w="65" w:type="dxa"/>
                    <w:bottom w:w="40" w:type="dxa"/>
                    <w:end w:w="65" w:type="dxa"/>
                  </w:tcMar>
                </w:tcPr>
                <w:p>
                  <w:r>
                    <w:rPr>
                      <w:rFonts w:ascii="Aptos" w:hAnsi="Aptos"/>
                      <w:b w:val="0"/>
                      <w:i w:val="0"/>
                      <w:color w:val="222222"/>
                      <w:sz w:val="16"/>
                    </w:rPr>
                    <w:t>Choose things that feel curated and selected with taste.</w:t>
                  </w:r>
                </w:p>
              </w:tc>
              <w:tc>
                <w:tcPr>
                  <w:tcW w:type="dxa" w:w="3600"/>
                  <w:tcMar>
                    <w:top w:w="40" w:type="dxa"/>
                    <w:start w:w="65" w:type="dxa"/>
                    <w:bottom w:w="40" w:type="dxa"/>
                    <w:end w:w="65" w:type="dxa"/>
                  </w:tcMar>
                </w:tcPr>
                <w:p>
                  <w:r>
                    <w:rPr>
                      <w:rFonts w:ascii="Aptos" w:hAnsi="Aptos"/>
                      <w:b w:val="0"/>
                      <w:i w:val="0"/>
                      <w:color w:val="222222"/>
                      <w:sz w:val="16"/>
                    </w:rPr>
                    <w:t>Do not approve anything that looks like fast print-on-demand output.</w:t>
                  </w:r>
                </w:p>
              </w:tc>
            </w:tr>
            <w:tr>
              <w:tc>
                <w:tcPr>
                  <w:tcW w:type="dxa" w:w="3600"/>
                  <w:tcMar>
                    <w:top w:w="40" w:type="dxa"/>
                    <w:start w:w="65" w:type="dxa"/>
                    <w:bottom w:w="40" w:type="dxa"/>
                    <w:end w:w="65" w:type="dxa"/>
                  </w:tcMar>
                </w:tcPr>
                <w:p>
                  <w:r>
                    <w:rPr>
                      <w:rFonts w:ascii="Aptos" w:hAnsi="Aptos"/>
                      <w:b w:val="0"/>
                      <w:i w:val="0"/>
                      <w:color w:val="222222"/>
                      <w:sz w:val="16"/>
                    </w:rPr>
                    <w:t>Use English for premium aesthetics, but Egyptian Arabic for deep trust in support.</w:t>
                  </w:r>
                </w:p>
              </w:tc>
              <w:tc>
                <w:tcPr>
                  <w:tcW w:type="dxa" w:w="3600"/>
                  <w:tcMar>
                    <w:top w:w="40" w:type="dxa"/>
                    <w:start w:w="65" w:type="dxa"/>
                    <w:bottom w:w="40" w:type="dxa"/>
                    <w:end w:w="65" w:type="dxa"/>
                  </w:tcMar>
                </w:tcPr>
                <w:p>
                  <w:r>
                    <w:rPr>
                      <w:rFonts w:ascii="Aptos" w:hAnsi="Aptos"/>
                      <w:b w:val="0"/>
                      <w:i w:val="0"/>
                      <w:color w:val="222222"/>
                      <w:sz w:val="16"/>
                    </w:rPr>
                    <w:t>Do not hide behind abstract art language, elitist jargon, or generic corporate replies.</w:t>
                  </w:r>
                </w:p>
              </w:tc>
            </w:tr>
            <w:tr>
              <w:tc>
                <w:tcPr>
                  <w:tcW w:type="dxa" w:w="3600"/>
                  <w:tcMar>
                    <w:top w:w="40" w:type="dxa"/>
                    <w:start w:w="65" w:type="dxa"/>
                    <w:bottom w:w="40" w:type="dxa"/>
                    <w:end w:w="65" w:type="dxa"/>
                  </w:tcMar>
                </w:tcPr>
                <w:p>
                  <w:r>
                    <w:rPr>
                      <w:rFonts w:ascii="Aptos" w:hAnsi="Aptos"/>
                      <w:b w:val="0"/>
                      <w:i w:val="0"/>
                      <w:color w:val="222222"/>
                      <w:sz w:val="16"/>
                    </w:rPr>
                    <w:t>Protect gift-worthiness by using rigid mailers and artist bio-cards.</w:t>
                  </w:r>
                </w:p>
              </w:tc>
              <w:tc>
                <w:tcPr>
                  <w:tcW w:type="dxa" w:w="3600"/>
                  <w:tcMar>
                    <w:top w:w="40" w:type="dxa"/>
                    <w:start w:w="65" w:type="dxa"/>
                    <w:bottom w:w="40" w:type="dxa"/>
                    <w:end w:w="65" w:type="dxa"/>
                  </w:tcMar>
                </w:tcPr>
                <w:p>
                  <w:r>
                    <w:rPr>
                      <w:rFonts w:ascii="Aptos" w:hAnsi="Aptos"/>
                      <w:b w:val="0"/>
                      <w:i w:val="0"/>
                      <w:color w:val="222222"/>
                      <w:sz w:val="16"/>
                    </w:rPr>
                    <w:t>Do not cut corners by shipping in cheap, visible plastic poly-bags.</w:t>
                  </w:r>
                </w:p>
              </w:tc>
            </w:tr>
            <w:tr>
              <w:tc>
                <w:tcPr>
                  <w:tcW w:type="dxa" w:w="3600"/>
                  <w:tcMar>
                    <w:top w:w="40" w:type="dxa"/>
                    <w:start w:w="65" w:type="dxa"/>
                    <w:bottom w:w="40" w:type="dxa"/>
                    <w:end w:w="65" w:type="dxa"/>
                  </w:tcMar>
                </w:tcPr>
                <w:p>
                  <w:r>
                    <w:rPr>
                      <w:rFonts w:ascii="Aptos" w:hAnsi="Aptos"/>
                      <w:b w:val="0"/>
                      <w:i w:val="0"/>
                      <w:color w:val="222222"/>
                      <w:sz w:val="16"/>
                    </w:rPr>
                    <w:t>Credit artists visibly and honestly.</w:t>
                  </w:r>
                </w:p>
              </w:tc>
              <w:tc>
                <w:tcPr>
                  <w:tcW w:type="dxa" w:w="3600"/>
                  <w:tcMar>
                    <w:top w:w="40" w:type="dxa"/>
                    <w:start w:w="65" w:type="dxa"/>
                    <w:bottom w:w="40" w:type="dxa"/>
                    <w:end w:w="65" w:type="dxa"/>
                  </w:tcMar>
                </w:tcPr>
                <w:p>
                  <w:r>
                    <w:rPr>
                      <w:rFonts w:ascii="Aptos" w:hAnsi="Aptos"/>
                      <w:b w:val="0"/>
                      <w:i w:val="0"/>
                      <w:color w:val="222222"/>
                      <w:sz w:val="16"/>
                    </w:rPr>
                    <w:t>Do not use “artist-made” as decoration without proof.</w:t>
                  </w:r>
                </w:p>
              </w:tc>
            </w:tr>
          </w:tbl>
          <w:p/>
          <w:p>
            <w:pPr>
              <w:spacing w:after="0"/>
            </w:pPr>
          </w:p>
          <w:p>
            <w:pPr>
              <w:spacing w:after="0"/>
            </w:pPr>
            <w:r>
              <w:rPr>
                <w:rFonts w:ascii="Aptos" w:hAnsi="Aptos"/>
                <w:b/>
                <w:i w:val="0"/>
                <w:color w:val="6A4B58"/>
                <w:sz w:val="17"/>
              </w:rPr>
              <w:t xml:space="preserve">The 3-Question Daily Filter: </w:t>
            </w:r>
            <w:r>
              <w:rPr>
                <w:rFonts w:ascii="Aptos" w:hAnsi="Aptos"/>
                <w:b w:val="0"/>
                <w:i w:val="0"/>
                <w:color w:val="222222"/>
                <w:sz w:val="16"/>
              </w:rPr>
              <w:t>Artist Filter — Did we credit the creator prominently?  |  Gifter’s Trust Filter — Is the sizing exact and the packaging premium enough?  |  Voice Filter — Do we sound like a cultured gallery patron calming down a friend, not a cheap t-shirt seller?</w:t>
            </w:r>
          </w:p>
        </w:tc>
      </w:tr>
    </w:tbl>
    <w:p>
      <w:r>
        <w:br w:type="page"/>
      </w:r>
    </w:p>
    <w:p>
      <w:pPr>
        <w:spacing w:after="60"/>
      </w:pPr>
      <w:r>
        <w:rPr>
          <w:rFonts w:ascii="Aptos" w:hAnsi="Aptos"/>
          <w:b/>
          <w:i w:val="0"/>
          <w:color w:val="2E2328"/>
          <w:sz w:val="26"/>
        </w:rPr>
        <w:t>Page 2 · Team Practice, Alignment, and Service Voice</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488"/>
        <w:gridCol w:w="7488"/>
      </w:tblGrid>
      <w:tr>
        <w:tc>
          <w:tcPr>
            <w:tcW w:type="dxa" w:w="7200"/>
            <w:tcMar>
              <w:top w:w="15" w:type="dxa"/>
              <w:start w:w="25" w:type="dxa"/>
              <w:bottom w:w="15" w:type="dxa"/>
              <w:end w:w="25" w:type="dxa"/>
            </w:tcMar>
          </w:tcP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tblGrid>
            <w:tr>
              <w:tc>
                <w:tcPr>
                  <w:tcW w:type="dxa" w:w="7200"/>
                  <w:shd w:fill="6A4B58"/>
                  <w:tcMar>
                    <w:top w:w="50" w:type="dxa"/>
                    <w:start w:w="95" w:type="dxa"/>
                    <w:bottom w:w="50" w:type="dxa"/>
                    <w:end w:w="95" w:type="dxa"/>
                  </w:tcMar>
                </w:tcPr>
                <w:p>
                  <w:r>
                    <w:rPr>
                      <w:rFonts w:ascii="Aptos" w:hAnsi="Aptos"/>
                      <w:b/>
                      <w:i w:val="0"/>
                      <w:color w:val="FFFFFF"/>
                      <w:sz w:val="22"/>
                    </w:rPr>
                    <w:t>SECTION 3 · 15-MINUTE TONE OF VOICE PRACTICE</w:t>
                  </w:r>
                </w:p>
              </w:tc>
            </w:tr>
          </w:tbl>
          <w:p/>
          <w:p>
            <w:pPr>
              <w:spacing w:after="60"/>
            </w:pPr>
            <w:r>
              <w:rPr>
                <w:rFonts w:ascii="Aptos" w:hAnsi="Aptos"/>
                <w:b w:val="0"/>
                <w:i/>
                <w:color w:val="666666"/>
                <w:sz w:val="17"/>
              </w:rPr>
              <w:t>The “Delayed Courier Drill”</w:t>
            </w:r>
          </w:p>
          <w:p>
            <w:pPr>
              <w:spacing w:after="20"/>
            </w:pPr>
            <w:r>
              <w:rPr>
                <w:rFonts w:ascii="Aptos" w:hAnsi="Aptos"/>
                <w:b/>
                <w:i w:val="0"/>
                <w:color w:val="222222"/>
                <w:sz w:val="17"/>
              </w:rPr>
              <w:t xml:space="preserve">Goal: </w:t>
            </w:r>
            <w:r>
              <w:rPr>
                <w:rFonts w:ascii="Aptos" w:hAnsi="Aptos"/>
                <w:b w:val="0"/>
                <w:i w:val="0"/>
                <w:color w:val="222222"/>
                <w:sz w:val="17"/>
              </w:rPr>
              <w:t>Make sure anyone on the team can write in the HORO voice: warm, refined, and firm.</w:t>
            </w:r>
          </w:p>
          <w:p>
            <w:pPr>
              <w:pStyle w:val="ListBullet"/>
              <w:spacing w:after="20" w:line="240" w:lineRule="auto"/>
            </w:pPr>
            <w:r>
              <w:rPr>
                <w:rFonts w:ascii="Aptos" w:hAnsi="Aptos"/>
                <w:b w:val="0"/>
                <w:i w:val="0"/>
                <w:color w:val="222222"/>
                <w:sz w:val="17"/>
              </w:rPr>
              <w:t>Drop a fake angry customer message into the team chat: “My Bosta courier is 2 days late. This was supposed to be a Mother’s Day gift. Is this a scam?!”</w:t>
            </w:r>
          </w:p>
          <w:p>
            <w:pPr>
              <w:pStyle w:val="ListBullet"/>
              <w:spacing w:after="20" w:line="240" w:lineRule="auto"/>
            </w:pPr>
            <w:r>
              <w:rPr>
                <w:rFonts w:ascii="Aptos" w:hAnsi="Aptos"/>
                <w:b w:val="0"/>
                <w:i w:val="0"/>
                <w:color w:val="222222"/>
                <w:sz w:val="17"/>
              </w:rPr>
              <w:t>Set a 3-minute timer. Everyone writes the response in Egyptian Arabic.</w:t>
            </w:r>
          </w:p>
          <w:p>
            <w:pPr>
              <w:pStyle w:val="ListBullet"/>
              <w:spacing w:after="20" w:line="240" w:lineRule="auto"/>
            </w:pPr>
            <w:r>
              <w:rPr>
                <w:rFonts w:ascii="Aptos" w:hAnsi="Aptos"/>
                <w:b w:val="0"/>
                <w:i w:val="0"/>
                <w:color w:val="222222"/>
                <w:sz w:val="17"/>
              </w:rPr>
              <w:t>Rule: take full ownership, do not blame the courier, and act like a premium advocate protecting the customer’s trust.</w:t>
            </w:r>
          </w:p>
          <w:p>
            <w:pPr>
              <w:pStyle w:val="ListBullet"/>
              <w:spacing w:after="20" w:line="240" w:lineRule="auto"/>
            </w:pPr>
            <w:r>
              <w:rPr>
                <w:rFonts w:ascii="Aptos" w:hAnsi="Aptos"/>
                <w:b w:val="0"/>
                <w:i w:val="0"/>
                <w:color w:val="222222"/>
                <w:sz w:val="17"/>
              </w:rPr>
              <w:t>Read the replies out loud. Keep the one that sounds most human and pin it as the gold standard.</w:t>
            </w: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tblGrid>
            <w:tr>
              <w:tc>
                <w:tcPr>
                  <w:tcW w:type="dxa" w:w="7200"/>
                  <w:shd w:fill="6A4B58"/>
                  <w:tcMar>
                    <w:top w:w="50" w:type="dxa"/>
                    <w:start w:w="95" w:type="dxa"/>
                    <w:bottom w:w="50" w:type="dxa"/>
                    <w:end w:w="95" w:type="dxa"/>
                  </w:tcMar>
                </w:tcPr>
                <w:p>
                  <w:r>
                    <w:rPr>
                      <w:rFonts w:ascii="Aptos" w:hAnsi="Aptos"/>
                      <w:b/>
                      <w:i w:val="0"/>
                      <w:color w:val="FFFFFF"/>
                      <w:sz w:val="22"/>
                    </w:rPr>
                    <w:t>SECTION 4 · AGILE BRAND ALIGNMENT</w:t>
                  </w:r>
                </w:p>
              </w:tc>
            </w:tr>
          </w:tbl>
          <w:p/>
          <w:p>
            <w:pPr>
              <w:pStyle w:val="ListBullet"/>
              <w:spacing w:after="20" w:line="240" w:lineRule="auto"/>
            </w:pPr>
            <w:r>
              <w:rPr>
                <w:rFonts w:ascii="Aptos" w:hAnsi="Aptos"/>
                <w:b w:val="0"/>
                <w:i w:val="0"/>
                <w:color w:val="222222"/>
                <w:sz w:val="17"/>
              </w:rPr>
              <w:t>Do not create new meetings. Use the routines you already have.</w:t>
            </w:r>
          </w:p>
          <w:p>
            <w:pPr>
              <w:pStyle w:val="ListBullet"/>
              <w:spacing w:after="20" w:line="240" w:lineRule="auto"/>
            </w:pPr>
            <w:r>
              <w:rPr>
                <w:rFonts w:ascii="Aptos" w:hAnsi="Aptos"/>
                <w:b w:val="0"/>
                <w:i w:val="0"/>
                <w:color w:val="222222"/>
                <w:sz w:val="17"/>
              </w:rPr>
              <w:t>The “Gallery Win” in the daily stand-up: spend 2 minutes asking, “Did anyone have a great gallery win yesterday?”</w:t>
            </w:r>
          </w:p>
          <w:p>
            <w:pPr>
              <w:pStyle w:val="ListBullet"/>
              <w:spacing w:after="20" w:line="240" w:lineRule="auto"/>
            </w:pPr>
            <w:r>
              <w:rPr>
                <w:rFonts w:ascii="Aptos" w:hAnsi="Aptos"/>
                <w:b w:val="0"/>
                <w:i w:val="0"/>
                <w:color w:val="222222"/>
                <w:sz w:val="17"/>
              </w:rPr>
              <w:t>“Pin the Persona” emojis in Slack or WhatsApp: use Omar, Salma, and Youssef as quick reaction markers on ideas and drafts.</w:t>
            </w:r>
          </w:p>
          <w:p>
            <w:pPr>
              <w:pStyle w:val="ListBullet"/>
              <w:spacing w:after="20" w:line="240" w:lineRule="auto"/>
            </w:pPr>
            <w:r>
              <w:rPr>
                <w:rFonts w:ascii="Aptos" w:hAnsi="Aptos"/>
                <w:b w:val="0"/>
                <w:i w:val="0"/>
                <w:color w:val="222222"/>
                <w:sz w:val="17"/>
              </w:rPr>
              <w:t>Non-negotiable weekly check: Are we slipping into print-shop language or discount-led behavior?</w:t>
            </w:r>
          </w:p>
          <w:p>
            <w:pPr>
              <w:pStyle w:val="ListBullet"/>
              <w:spacing w:after="20" w:line="240" w:lineRule="auto"/>
            </w:pPr>
            <w:r>
              <w:rPr>
                <w:rFonts w:ascii="Aptos" w:hAnsi="Aptos"/>
                <w:b w:val="0"/>
                <w:i w:val="0"/>
                <w:color w:val="222222"/>
                <w:sz w:val="17"/>
              </w:rPr>
              <w:t>Internal shorthand: a gallery win is any moment where the brand felt more curated, more gift-worthy, or more trustworthy because of how the team acted.</w:t>
            </w:r>
          </w:p>
        </w:tc>
        <w:tc>
          <w:tcPr>
            <w:tcW w:type="dxa" w:w="7200"/>
            <w:tcMar>
              <w:top w:w="15" w:type="dxa"/>
              <w:start w:w="25" w:type="dxa"/>
              <w:bottom w:w="15" w:type="dxa"/>
              <w:end w:w="25" w:type="dxa"/>
            </w:tcMar>
          </w:tcP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7200"/>
            </w:tblGrid>
            <w:tr>
              <w:tc>
                <w:tcPr>
                  <w:tcW w:type="dxa" w:w="7200"/>
                  <w:shd w:fill="6A4B58"/>
                  <w:tcMar>
                    <w:top w:w="50" w:type="dxa"/>
                    <w:start w:w="95" w:type="dxa"/>
                    <w:bottom w:w="50" w:type="dxa"/>
                    <w:end w:w="95" w:type="dxa"/>
                  </w:tcMar>
                </w:tcPr>
                <w:p>
                  <w:r>
                    <w:rPr>
                      <w:rFonts w:ascii="Aptos" w:hAnsi="Aptos"/>
                      <w:b/>
                      <w:i w:val="0"/>
                      <w:color w:val="FFFFFF"/>
                      <w:sz w:val="22"/>
                    </w:rPr>
                    <w:t>APPENDIX · SERVICE VOICE QUICK SCRIPTS</w:t>
                  </w:r>
                </w:p>
              </w:tc>
            </w:tr>
          </w:tbl>
          <w:p/>
          <w:p>
            <w:pPr>
              <w:spacing w:after="60"/>
            </w:pPr>
            <w:r>
              <w:rPr>
                <w:rFonts w:ascii="Aptos" w:hAnsi="Aptos"/>
                <w:b w:val="0"/>
                <w:i/>
                <w:color w:val="666666"/>
                <w:sz w:val="17"/>
              </w:rPr>
              <w:t>Copy / paste starting points</w:t>
            </w:r>
          </w:p>
          <w:p>
            <w:pPr>
              <w:spacing w:after="20"/>
            </w:pPr>
            <w:r>
              <w:rPr>
                <w:rFonts w:ascii="Aptos" w:hAnsi="Aptos"/>
                <w:b w:val="0"/>
                <w:i w:val="0"/>
                <w:color w:val="222222"/>
                <w:sz w:val="17"/>
              </w:rPr>
              <w:t>Warm, refined, and clear — with enough firmness to protect margins from fake COD orders and reduce return anxiety.</w:t>
            </w:r>
          </w:p>
          <w:tbl>
            <w:tblPr>
              <w:tblW w:type="auto" w:w="0"/>
              <w:tblLook w:firstColumn="1" w:firstRow="1" w:lastColumn="0" w:lastRow="0" w:noHBand="0" w:noVBand="1" w:val="04A0"/>
              <w:tblBorders>
                <w:top w:val="single" w:sz="6" w:space="0" w:color="D8C9CF"/>
                <w:left w:val="single" w:sz="6" w:space="0" w:color="D8C9CF"/>
                <w:bottom w:val="single" w:sz="6" w:space="0" w:color="D8C9CF"/>
                <w:right w:val="single" w:sz="6" w:space="0" w:color="D8C9CF"/>
                <w:insideH w:val="single" w:sz="6" w:space="0" w:color="D8C9CF"/>
                <w:insideV w:val="single" w:sz="6" w:space="0" w:color="D8C9CF"/>
              </w:tblBorders>
            </w:tblPr>
            <w:tblGrid>
              <w:gridCol w:w="7200"/>
            </w:tblGrid>
            <w:tr>
              <w:tc>
                <w:tcPr>
                  <w:tcW w:type="dxa" w:w="7200"/>
                  <w:shd w:fill="FBF7F8"/>
                  <w:tcMar>
                    <w:top w:w="38" w:type="dxa"/>
                    <w:start w:w="75" w:type="dxa"/>
                    <w:bottom w:w="38" w:type="dxa"/>
                    <w:end w:w="75" w:type="dxa"/>
                  </w:tcMar>
                </w:tcPr>
                <w:p>
                  <w:pPr>
                    <w:spacing w:after="20"/>
                  </w:pPr>
                  <w:r>
                    <w:rPr>
                      <w:rFonts w:ascii="Aptos" w:hAnsi="Aptos"/>
                      <w:b/>
                      <w:i w:val="0"/>
                      <w:color w:val="6A4B58"/>
                      <w:sz w:val="16"/>
                    </w:rPr>
                    <w:t>1. WhatsApp COD Confirmation · Polite + Firm</w:t>
                  </w:r>
                </w:p>
                <w:p>
                  <w:pPr>
                    <w:spacing w:after="20"/>
                  </w:pPr>
                  <w:r>
                    <w:rPr>
                      <w:rFonts w:ascii="Aptos" w:hAnsi="Aptos"/>
                      <w:b w:val="0"/>
                      <w:i/>
                      <w:color w:val="666666"/>
                      <w:sz w:val="15"/>
                    </w:rPr>
                    <w:t>Formula: Thank customer → state release condition → set deadline.</w:t>
                  </w:r>
                </w:p>
                <w:p>
                  <w:pPr>
                    <w:spacing w:after="0"/>
                  </w:pPr>
                  <w:r>
                    <w:rPr>
                      <w:rFonts w:ascii="Aptos" w:hAnsi="Aptos"/>
                      <w:b w:val="0"/>
                      <w:i w:val="0"/>
                      <w:color w:val="222222"/>
                      <w:sz w:val="16"/>
                    </w:rPr>
                    <w:t>أهلاً بك يا [Name] في مجتمع HORO ✨ قطعتك الفنية من مجموعة [Collection] محجوزة وجاهزة ليك! عشان نضمن وصولها بأمان، يرجى تأكيد العنوان بالتفصيل ورقم موبايل بديل. (ملحوظة: بيتم الاحتفاظ بالقطع غير المؤكدة لمدة 24 ساعة فقط قبل إتاحتها للجمهور مرة تانية. شكراً لتفهمك!) 🎨</w:t>
                  </w:r>
                </w:p>
              </w:tc>
            </w:tr>
            <w:tr>
              <w:tc>
                <w:tcPr>
                  <w:tcW w:type="dxa" w:w="7200"/>
                  <w:shd w:fill="FFFFFF"/>
                  <w:tcMar>
                    <w:top w:w="38" w:type="dxa"/>
                    <w:start w:w="75" w:type="dxa"/>
                    <w:bottom w:w="38" w:type="dxa"/>
                    <w:end w:w="75" w:type="dxa"/>
                  </w:tcMar>
                </w:tcPr>
                <w:p>
                  <w:pPr>
                    <w:spacing w:after="20"/>
                  </w:pPr>
                  <w:r>
                    <w:rPr>
                      <w:rFonts w:ascii="Aptos" w:hAnsi="Aptos"/>
                      <w:b/>
                      <w:i w:val="0"/>
                      <w:color w:val="6A4B58"/>
                      <w:sz w:val="16"/>
                    </w:rPr>
                    <w:t>2. Delayed Courier · Calm + Responsible</w:t>
                  </w:r>
                </w:p>
                <w:p>
                  <w:pPr>
                    <w:spacing w:after="20"/>
                  </w:pPr>
                  <w:r>
                    <w:rPr>
                      <w:rFonts w:ascii="Aptos" w:hAnsi="Aptos"/>
                      <w:b w:val="0"/>
                      <w:i/>
                      <w:color w:val="666666"/>
                      <w:sz w:val="15"/>
                    </w:rPr>
                    <w:t>Formula: Acknowledge issue → confirm action taken → give next update time.</w:t>
                  </w:r>
                </w:p>
                <w:p>
                  <w:pPr>
                    <w:spacing w:after="0"/>
                  </w:pPr>
                  <w:r>
                    <w:rPr>
                      <w:rFonts w:ascii="Aptos" w:hAnsi="Aptos"/>
                      <w:b w:val="0"/>
                      <w:i w:val="0"/>
                      <w:color w:val="222222"/>
                      <w:sz w:val="16"/>
                    </w:rPr>
                    <w:t>مساء الخير [Name]، إحنا بنتابع خط سير طلبك بنفسنا ولاحظنا إن في تأخير بسيط. إحنا بنعتذر جداً وبنتحمل مسؤوليته. فريقنا بيتواصل حالياً مع شركة الشحن عشان نسرع التوصيل. قطعتك في أمان وهنبلغك فوراً أول ما المندوب يتحرك بيها. 🖤</w:t>
                  </w:r>
                </w:p>
              </w:tc>
            </w:tr>
            <w:tr>
              <w:tc>
                <w:tcPr>
                  <w:tcW w:type="dxa" w:w="7200"/>
                  <w:shd w:fill="FBF7F8"/>
                  <w:tcMar>
                    <w:top w:w="38" w:type="dxa"/>
                    <w:start w:w="75" w:type="dxa"/>
                    <w:bottom w:w="38" w:type="dxa"/>
                    <w:end w:w="75" w:type="dxa"/>
                  </w:tcMar>
                </w:tcPr>
                <w:p>
                  <w:pPr>
                    <w:spacing w:after="20"/>
                  </w:pPr>
                  <w:r>
                    <w:rPr>
                      <w:rFonts w:ascii="Aptos" w:hAnsi="Aptos"/>
                      <w:b/>
                      <w:i w:val="0"/>
                      <w:color w:val="6A4B58"/>
                      <w:sz w:val="16"/>
                    </w:rPr>
                    <w:t>3. Sizing Complaint &amp; Proactive Sizing · Helpful + Non-defensive</w:t>
                  </w:r>
                </w:p>
                <w:p>
                  <w:pPr>
                    <w:spacing w:after="20"/>
                  </w:pPr>
                  <w:r>
                    <w:rPr>
                      <w:rFonts w:ascii="Aptos" w:hAnsi="Aptos"/>
                      <w:b w:val="0"/>
                      <w:i/>
                      <w:color w:val="666666"/>
                      <w:sz w:val="15"/>
                    </w:rPr>
                    <w:t>Formula: Acknowledge issue → ask precise questions → move to frictionless exchange.</w:t>
                  </w:r>
                </w:p>
                <w:p>
                  <w:pPr>
                    <w:spacing w:after="0"/>
                  </w:pPr>
                  <w:r>
                    <w:rPr>
                      <w:rFonts w:ascii="Aptos" w:hAnsi="Aptos"/>
                      <w:b w:val="0"/>
                      <w:i w:val="0"/>
                      <w:color w:val="222222"/>
                      <w:sz w:val="16"/>
                    </w:rPr>
                    <w:t>أهلاً [Name]، يهمنا جداً إن قطعتك الفنية تكون مقاسها مثالي، فبنتفهم تماماً لو المقاس مظبطش! عملية الاستبدال عندنا سهلة جداً. بس عرفنا المقاس اللي حابب تبدل بيه، وهنبعتلك المندوب لحد باب البيت يبدل القطعة. وعشان طلباتك اللي جاية، هنكون سعداء نساعدك بدليل المقاسات بالسنتيمتر. 👕</w:t>
                  </w:r>
                </w:p>
              </w:tc>
            </w:tr>
          </w:tbl>
          <w:p/>
          <w:p>
            <w:r>
              <w:rPr>
                <w:rFonts w:ascii="Aptos" w:hAnsi="Aptos"/>
                <w:b/>
                <w:i w:val="0"/>
                <w:color w:val="6A4B58"/>
                <w:sz w:val="17"/>
              </w:rPr>
              <w:t xml:space="preserve">Daily launch filter: </w:t>
            </w:r>
            <w:r>
              <w:rPr>
                <w:rFonts w:ascii="Aptos" w:hAnsi="Aptos"/>
                <w:b w:val="0"/>
                <w:i w:val="0"/>
                <w:color w:val="222222"/>
                <w:sz w:val="17"/>
              </w:rPr>
              <w:t>personal, curated, gift-worthy, and easy to trust.</w:t>
            </w:r>
          </w:p>
        </w:tc>
      </w:tr>
    </w:tbl>
    <w:sectPr w:rsidR="00FC693F" w:rsidRPr="0006063C" w:rsidSect="00034616">
      <w:footerReference w:type="default" r:id="rId9"/>
      <w:pgSz w:w="15840" w:h="12240" w:orient="landscape"/>
      <w:pgMar w:top="504" w:right="720" w:bottom="46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8A7B82"/>
        <w:sz w:val="14"/>
      </w:rPr>
      <w:t>HORO · Internal Use · V1.2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