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R3.6M-006B.1 — Canonical Alarm Definition</w:t>
      </w:r>
    </w:p>
    <w:p>
      <w:r>
        <w:rPr>
          <w:b/>
          <w:sz w:val="22"/>
        </w:rPr>
        <w:t>Inventario contractual de campos y fronteras — DRAFT</w:t>
      </w:r>
    </w:p>
    <w:p>
      <w:r>
        <w:rPr>
          <w:b/>
        </w:rPr>
        <w:t xml:space="preserve">Estado: </w:t>
      </w:r>
      <w:r>
        <w:t>DRAFT / diseño en curso</w:t>
        <w:br/>
      </w:r>
      <w:r>
        <w:rPr>
          <w:b/>
        </w:rPr>
        <w:t xml:space="preserve">Propósito: </w:t>
      </w:r>
      <w:r>
        <w:t>mantener en un único lugar los campos, semánticas y fronteras acordadas antes de implementar 006B.1.</w:t>
        <w:br/>
      </w:r>
      <w:r>
        <w:rPr>
          <w:b/>
        </w:rPr>
        <w:t xml:space="preserve">Importante: </w:t>
      </w:r>
      <w:r>
        <w:t>este documento no implica que los nombres físicos finales, dataclasses o schemas ya estén congelados.</w:t>
      </w:r>
    </w:p>
    <w:p>
      <w:pPr>
        <w:pStyle w:val="Heading1"/>
        <w:keepNext/>
      </w:pPr>
      <w:r>
        <w:t>1. Frontera general</w:t>
      </w:r>
    </w:p>
    <w:p>
      <w:r>
        <w:t>AlarmDefinition representa la configuración de negocio de una regla de alarma. El frontend del ADA Command Center editará este contrato; no construirá PlannedAlarm ni contratos internos del runtime.</w:t>
      </w:r>
    </w:p>
    <w:p>
      <w:pPr>
        <w:spacing w:after="80"/>
        <w:ind w:left="360"/>
      </w:pPr>
      <w:r>
        <w:rPr>
          <w:rFonts w:ascii="Consolas" w:hAnsi="Consolas"/>
          <w:sz w:val="17"/>
        </w:rPr>
        <w:t>Frontend de configuración</w:t>
        <w:br/>
        <w:t xml:space="preserve">        ↓</w:t>
        <w:br/>
        <w:t>AlarmDefinition</w:t>
        <w:br/>
        <w:t xml:space="preserve">        ↓</w:t>
        <w:br/>
        <w:t>B.2 Configuration Resolution</w:t>
        <w:br/>
        <w:t xml:space="preserve">        ↓</w:t>
        <w:br/>
        <w:t>PlannedAlarm + AlarmExecutionEntry</w:t>
        <w:br/>
        <w:t xml:space="preserve">        ↓</w:t>
        <w:br/>
        <w:t>A.3 Alarm Runtime</w:t>
      </w:r>
    </w:p>
    <w:p>
      <w:r>
        <w:t>La definición no contiene clientes físicos, SharePoint/Cosmos específicos, estado runtime, leases, commits, UI layout ni código ejecutable.</w:t>
      </w:r>
    </w:p>
    <w:p>
      <w:pPr>
        <w:pStyle w:val="Heading1"/>
        <w:keepNext/>
      </w:pPr>
      <w:r>
        <w:t>2. Identidad y contenido</w:t>
      </w:r>
    </w:p>
    <w:p>
      <w:pPr>
        <w:pStyle w:val="Heading2"/>
        <w:keepNext/>
      </w:pPr>
      <w:r>
        <w:t>Acordado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EDEDED"/>
            <w:vAlign w:val="center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3389"/>
            <w:shd w:fill="EDEDED"/>
            <w:vAlign w:val="center"/>
          </w:tcPr>
          <w:p>
            <w:r>
              <w:rPr>
                <w:b/>
                <w:sz w:val="17"/>
              </w:rPr>
              <w:t>Tipo conceptual</w:t>
            </w:r>
          </w:p>
        </w:tc>
        <w:tc>
          <w:tcPr>
            <w:tcW w:type="dxa" w:w="3389"/>
            <w:shd w:fill="EDEDED"/>
            <w:vAlign w:val="center"/>
          </w:tcPr>
          <w:p>
            <w:r>
              <w:rPr>
                <w:b/>
                <w:sz w:val="17"/>
              </w:rPr>
              <w:t>Semántica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family_key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Familia lógica de la regla.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rule_key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ID técnico estable para referencias, trazabilidad y relaciones.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display_name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Nombre humano visible de la alarma.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content_key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ID reutilizable para asociar contenido a una o más reglas.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title_template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Título parametrizable/predefinido.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cause_template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Texto/plantilla de causa.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message_key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str | None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Referencia estable a un mensaje predefinido cuando corresponda.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image_key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str | None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Referencia estable a imagen/contenido gráfico cuando corresponda.</w:t>
            </w:r>
          </w:p>
        </w:tc>
      </w:tr>
    </w:tbl>
    <w:p>
      <w:pPr>
        <w:pStyle w:val="Heading2"/>
        <w:keepNext/>
      </w:pPr>
      <w:r>
        <w:t>Pendiente de reconciliar</w:t>
      </w:r>
    </w:p>
    <w:p>
      <w:pPr>
        <w:pStyle w:val="ListBullet"/>
      </w:pPr>
      <w:r>
        <w:t>Relación exacta entre rule_key, el antiguo rule_name de falarm y AlarmIdentity.alarm_key.</w:t>
      </w:r>
    </w:p>
    <w:p>
      <w:pPr>
        <w:pStyle w:val="ListBullet"/>
      </w:pPr>
      <w:r>
        <w:t>Ubicación física final de message_key e image_key.</w:t>
      </w:r>
    </w:p>
    <w:p>
      <w:pPr>
        <w:pStyle w:val="ListBullet"/>
      </w:pPr>
      <w:r>
        <w:t>Si content_key actúa como agregador suficiente o se conservarán IDs específicos además del content_key.</w:t>
      </w:r>
    </w:p>
    <w:p>
      <w:pPr>
        <w:pStyle w:val="Heading1"/>
        <w:keepNext/>
      </w:pPr>
      <w:r>
        <w:t>3. Clasificación operacional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EDEDED"/>
            <w:vAlign w:val="center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3389"/>
            <w:shd w:fill="EDEDED"/>
            <w:vAlign w:val="center"/>
          </w:tcPr>
          <w:p>
            <w:r>
              <w:rPr>
                <w:b/>
                <w:sz w:val="17"/>
              </w:rPr>
              <w:t>Valores / tipo</w:t>
            </w:r>
          </w:p>
        </w:tc>
        <w:tc>
          <w:tcPr>
            <w:tcW w:type="dxa" w:w="3389"/>
            <w:shd w:fill="EDEDED"/>
            <w:vAlign w:val="center"/>
          </w:tcPr>
          <w:p>
            <w:r>
              <w:rPr>
                <w:b/>
                <w:sz w:val="17"/>
              </w:rPr>
              <w:t>Semántica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kind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RISK | IMPACT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Categoría informativa mostrada al operador; conserva significado de negocio.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business_category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catálogo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Categoría de negocio: operacional, salud y seguridad, medio ambiente, costos, producción, mantención, etc.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color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catálogo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Color funcional de la alarma. Existe evidencia histórica para RED y YELLOW.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is_special_condition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La regla puede ser utilizada como condición especial por otras alarmas; no reemplaza kind.</w:t>
            </w:r>
          </w:p>
        </w:tc>
      </w:tr>
    </w:tbl>
    <w:p>
      <w:r>
        <w:t>Regla importante: kind e is_special_condition son dimensiones independientes.</w:t>
      </w:r>
    </w:p>
    <w:p>
      <w:pPr>
        <w:spacing w:after="80"/>
        <w:ind w:left="360"/>
      </w:pPr>
      <w:r>
        <w:rPr>
          <w:rFonts w:ascii="Consolas" w:hAnsi="Consolas"/>
          <w:sz w:val="17"/>
        </w:rPr>
        <w:t>kind = RISK | IMPACT</w:t>
        <w:br/>
        <w:t>is_special_condition = true | false</w:t>
      </w:r>
    </w:p>
    <w:p>
      <w:pPr>
        <w:pStyle w:val="Heading1"/>
        <w:keepNext/>
      </w:pPr>
      <w:r>
        <w:t>4. Activación y visibilidad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EDEDED"/>
            <w:vAlign w:val="center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3389"/>
            <w:shd w:fill="EDEDED"/>
            <w:vAlign w:val="center"/>
          </w:tcPr>
          <w:p>
            <w:r>
              <w:rPr>
                <w:b/>
                <w:sz w:val="17"/>
              </w:rPr>
              <w:t>Valores / tipo</w:t>
            </w:r>
          </w:p>
        </w:tc>
        <w:tc>
          <w:tcPr>
            <w:tcW w:type="dxa" w:w="3389"/>
            <w:shd w:fill="EDEDED"/>
            <w:vAlign w:val="center"/>
          </w:tcPr>
          <w:p>
            <w:r>
              <w:rPr>
                <w:b/>
                <w:sz w:val="17"/>
              </w:rPr>
              <w:t>Semántica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Si es false, la regla no participa en evaluación.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visibility_mode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VISIBLE | TRACE_ONLY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TRACE_ONLY evalúa y deja trazabilidad sin proyectar a colas o vistas.</w:t>
            </w:r>
          </w:p>
        </w:tc>
      </w:tr>
    </w:tbl>
    <w:p>
      <w:r>
        <w:t>is_active, visibility_mode e is_special_condition son conceptos independientes.</w:t>
      </w:r>
    </w:p>
    <w:p>
      <w:pPr>
        <w:pStyle w:val="Heading1"/>
        <w:keepNext/>
      </w:pPr>
      <w:r>
        <w:t>5. Evaluación y valores inyectables</w:t>
      </w:r>
    </w:p>
    <w:p>
      <w:r>
        <w:t>La definición debe permitir modificar límites, ventanas, tolerancias y otros valores relevantes sin desplegar nuevamente código a producción.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EDEDED"/>
            <w:vAlign w:val="center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3389"/>
            <w:shd w:fill="EDEDED"/>
            <w:vAlign w:val="center"/>
          </w:tcPr>
          <w:p>
            <w:r>
              <w:rPr>
                <w:b/>
                <w:sz w:val="17"/>
              </w:rPr>
              <w:t>Tipo conceptual</w:t>
            </w:r>
          </w:p>
        </w:tc>
        <w:tc>
          <w:tcPr>
            <w:tcW w:type="dxa" w:w="3389"/>
            <w:shd w:fill="EDEDED"/>
            <w:vAlign w:val="center"/>
          </w:tcPr>
          <w:p>
            <w:r>
              <w:rPr>
                <w:b/>
                <w:sz w:val="17"/>
              </w:rPr>
              <w:t>Semántica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evaluator_key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Identifica un evaluator productivo, versionado y probado.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evaluation.parameters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mapa tipado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Valores inyectables consumidos por el evaluator.</w:t>
            </w:r>
          </w:p>
        </w:tc>
      </w:tr>
    </w:tbl>
    <w:p>
      <w:pPr>
        <w:spacing w:after="80"/>
        <w:ind w:left="360"/>
      </w:pPr>
      <w:r>
        <w:rPr>
          <w:rFonts w:ascii="Consolas" w:hAnsi="Consolas"/>
          <w:sz w:val="17"/>
        </w:rPr>
        <w:t>evaluation = {</w:t>
        <w:br/>
        <w:t xml:space="preserve">    "evaluator_key": "sustained_high_pressure",</w:t>
        <w:br/>
        <w:t xml:space="preserve">    "parameters": {</w:t>
        <w:br/>
        <w:t xml:space="preserve">        "high_limit": 85.0,</w:t>
        <w:br/>
        <w:t xml:space="preserve">        "minimum_duration_seconds": 120,</w:t>
        <w:br/>
        <w:t xml:space="preserve">        "deadband": 2.5,</w:t>
        <w:br/>
        <w:t xml:space="preserve">    },</w:t>
        <w:br/>
        <w:t>}</w:t>
      </w:r>
    </w:p>
    <w:p>
      <w:r>
        <w:t>Invariante: los parámetros son datos; no se permite código, lambdas ni expresiones ejecutables provenientes de configuración.</w:t>
      </w:r>
    </w:p>
    <w:p>
      <w:r>
        <w:t>Una condición especial puede usar un evaluator completamente diferente al de la alarma principal.</w:t>
      </w:r>
    </w:p>
    <w:p>
      <w:pPr>
        <w:pStyle w:val="Heading1"/>
        <w:keepNext/>
      </w:pPr>
      <w:r>
        <w:t>6. Prioridad y scope operacional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EDEDED"/>
            <w:vAlign w:val="center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3389"/>
            <w:shd w:fill="EDEDED"/>
            <w:vAlign w:val="center"/>
          </w:tcPr>
          <w:p>
            <w:r>
              <w:rPr>
                <w:b/>
                <w:sz w:val="17"/>
              </w:rPr>
              <w:t>Tipo</w:t>
            </w:r>
          </w:p>
        </w:tc>
        <w:tc>
          <w:tcPr>
            <w:tcW w:type="dxa" w:w="3389"/>
            <w:shd w:fill="EDEDED"/>
            <w:vAlign w:val="center"/>
          </w:tcPr>
          <w:p>
            <w:r>
              <w:rPr>
                <w:b/>
                <w:sz w:val="17"/>
              </w:rPr>
              <w:t>Semántica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priority_order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int &gt; 0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Orden relativo de prioridad dentro de su agrupación.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agrupador prioridad/gestión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Agrupación donde compite por prioridad y aplican políticas operacionales.</w:t>
            </w:r>
          </w:p>
        </w:tc>
      </w:tr>
    </w:tbl>
    <w:p>
      <w:pPr>
        <w:pStyle w:val="Heading2"/>
        <w:keepNext/>
      </w:pPr>
      <w:r>
        <w:t>Pendiente de reconciliar</w:t>
      </w:r>
    </w:p>
    <w:p>
      <w:pPr>
        <w:pStyle w:val="ListBullet"/>
      </w:pPr>
      <w:r>
        <w:t>Confirmar si scope_key de falarm es semánticamente idéntico a priority_group.</w:t>
      </w:r>
    </w:p>
    <w:p>
      <w:pPr>
        <w:pStyle w:val="ListBullet"/>
      </w:pPr>
      <w:r>
        <w:t>Evitar conservar ambos si representan el mismo concepto.</w:t>
      </w:r>
    </w:p>
    <w:p>
      <w:pPr>
        <w:pStyle w:val="ListBullet"/>
      </w:pPr>
      <w:r>
        <w:t>Si Management requiere un scope distinto, modelarlo explícitamente.</w:t>
      </w:r>
    </w:p>
    <w:p>
      <w:pPr>
        <w:pStyle w:val="Heading1"/>
        <w:keepNext/>
      </w:pPr>
      <w:r>
        <w:t>7. Management y reaparición</w:t>
      </w:r>
    </w:p>
    <w:p>
      <w:r>
        <w:t>Una gestión aceptada oculta la ocurrencia gestionada. Este comportamiento es del motor y no se configura por regla.</w:t>
      </w:r>
    </w:p>
    <w:p>
      <w:pPr>
        <w:spacing w:after="80"/>
        <w:ind w:left="360"/>
      </w:pPr>
      <w:r>
        <w:rPr>
          <w:rFonts w:ascii="Consolas" w:hAnsi="Consolas"/>
          <w:sz w:val="17"/>
        </w:rPr>
        <w:t>GESTIONADA + CONDICIÓN PRINCIPAL SIGUE ACTIVA</w:t>
        <w:br/>
        <w:t xml:space="preserve">                │</w:t>
        <w:br/>
        <w:t xml:space="preserve">                ├── vencimiento de tiempo ─────────┐</w:t>
        <w:br/>
        <w:t xml:space="preserve">                │                                  │</w:t>
        <w:br/>
        <w:t xml:space="preserve">                └── condición especial activa ─────┤</w:t>
        <w:br/>
        <w:t xml:space="preserve">                                                   ↓</w:t>
        <w:br/>
        <w:t xml:space="preserve">                                              REAPARECE</w:t>
      </w:r>
    </w:p>
    <w:p>
      <w:r>
        <w:t>Cuando ambos mecanismos existen, la semántica es OR: el primero que ocurra fuerza la reaparición.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EDEDED"/>
            <w:vAlign w:val="center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3389"/>
            <w:shd w:fill="EDEDED"/>
            <w:vAlign w:val="center"/>
          </w:tcPr>
          <w:p>
            <w:r>
              <w:rPr>
                <w:b/>
                <w:sz w:val="17"/>
              </w:rPr>
              <w:t>Tipo conceptual</w:t>
            </w:r>
          </w:p>
        </w:tc>
        <w:tc>
          <w:tcPr>
            <w:tcW w:type="dxa" w:w="3389"/>
            <w:shd w:fill="EDEDED"/>
            <w:vAlign w:val="center"/>
          </w:tcPr>
          <w:p>
            <w:r>
              <w:rPr>
                <w:b/>
                <w:sz w:val="17"/>
              </w:rPr>
              <w:t>Semántica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operator_bucket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str | None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Bucket/agrupación operacional del operador cuando aplique.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reappearance.after_seconds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int | None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Tiempo post-gestión para reaparición si la condición principal sigue activa.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reappearance.special_condition_keys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tuple[str, ...]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Una o más reglas is_special_condition=true que pueden forzar reaparición.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continue_escalation_clock_when_hidden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Controla si el reloj de escalamiento continúa mientras está oculta.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use_message_management_override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Conserva capacidad histórica de override asociado a contenido/mensajes.</w:t>
            </w:r>
          </w:p>
        </w:tc>
      </w:tr>
    </w:tbl>
    <w:p>
      <w:pPr>
        <w:pStyle w:val="ListBullet"/>
      </w:pPr>
      <w:r>
        <w:t>Las special_condition_keys deben referenciar reglas existentes, activas y marcadas is_special_condition=true.</w:t>
      </w:r>
    </w:p>
    <w:p>
      <w:pPr>
        <w:pStyle w:val="ListBullet"/>
      </w:pPr>
      <w:r>
        <w:t>Con múltiples condiciones especiales, cualquiera puede disparar la reaparición.</w:t>
      </w:r>
    </w:p>
    <w:p>
      <w:pPr>
        <w:pStyle w:val="ListBullet"/>
      </w:pPr>
      <w:r>
        <w:t>Timer/condición especial sólo reaparecen si la condición principal continúa activa.</w:t>
      </w:r>
    </w:p>
    <w:p>
      <w:pPr>
        <w:pStyle w:val="ListBullet"/>
      </w:pPr>
      <w:r>
        <w:t>Si la condición principal normalizó, un timer previo no resucita la alarma.</w:t>
      </w:r>
    </w:p>
    <w:p>
      <w:pPr>
        <w:pStyle w:val="ListBullet"/>
      </w:pPr>
      <w:r>
        <w:t>Una activación posterior a normalización es una nueva ocurrencia.</w:t>
      </w:r>
    </w:p>
    <w:p>
      <w:pPr>
        <w:pStyle w:val="Heading1"/>
        <w:keepNext/>
        <w:pageBreakBefore/>
      </w:pPr>
      <w:r>
        <w:t>8. Desactivación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EDEDED"/>
            <w:vAlign w:val="center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3389"/>
            <w:shd w:fill="EDEDED"/>
            <w:vAlign w:val="center"/>
          </w:tcPr>
          <w:p>
            <w:r>
              <w:rPr>
                <w:b/>
                <w:sz w:val="17"/>
              </w:rPr>
              <w:t>Tipo</w:t>
            </w:r>
          </w:p>
        </w:tc>
        <w:tc>
          <w:tcPr>
            <w:tcW w:type="dxa" w:w="3389"/>
            <w:shd w:fill="EDEDED"/>
            <w:vAlign w:val="center"/>
          </w:tcPr>
          <w:p>
            <w:r>
              <w:rPr>
                <w:b/>
                <w:sz w:val="17"/>
              </w:rPr>
              <w:t>Semántica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explicit_deactivation_response_required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true exige una respuesta/acción explícita para desactivar según la política del motor; false no la exige.</w:t>
            </w:r>
          </w:p>
        </w:tc>
      </w:tr>
    </w:tbl>
    <w:p>
      <w:r>
        <w:t>Este campo es independiente de is_active.</w:t>
      </w:r>
    </w:p>
    <w:p>
      <w:pPr>
        <w:pStyle w:val="Heading2"/>
        <w:keepNext/>
      </w:pPr>
      <w:r>
        <w:t>Pendiente de reconciliar</w:t>
      </w:r>
    </w:p>
    <w:p>
      <w:pPr>
        <w:pStyle w:val="ListBullet"/>
      </w:pPr>
      <w:r>
        <w:t>Proyección exacta hacia DeactivationPolicy de R3.5/R3.6.</w:t>
      </w:r>
    </w:p>
    <w:p>
      <w:pPr>
        <w:pStyle w:val="ListBullet"/>
      </w:pPr>
      <w:r>
        <w:t>Nombre físico final sin perder la semántica acordada.</w:t>
      </w:r>
    </w:p>
    <w:p>
      <w:pPr>
        <w:pStyle w:val="Heading1"/>
        <w:keepNext/>
      </w:pPr>
      <w:r>
        <w:t>9. Escalamiento entre herramientas</w:t>
      </w:r>
    </w:p>
    <w:p>
      <w:r>
        <w:t>El escalamiento fuente conserva una secuencia explícita y no se reduce prematuramente a AlarmRouting.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EDEDED"/>
            <w:vAlign w:val="center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3389"/>
            <w:shd w:fill="EDEDED"/>
            <w:vAlign w:val="center"/>
          </w:tcPr>
          <w:p>
            <w:r>
              <w:rPr>
                <w:b/>
                <w:sz w:val="17"/>
              </w:rPr>
              <w:t>Tipo</w:t>
            </w:r>
          </w:p>
        </w:tc>
        <w:tc>
          <w:tcPr>
            <w:tcW w:type="dxa" w:w="3389"/>
            <w:shd w:fill="EDEDED"/>
            <w:vAlign w:val="center"/>
          </w:tcPr>
          <w:p>
            <w:r>
              <w:rPr>
                <w:b/>
                <w:sz w:val="17"/>
              </w:rPr>
              <w:t>Semántica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step_order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int &gt; 0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Orden del paso.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target_tool_key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Tool destino.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is_enabled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bool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Habilita/deshabilita el paso.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7"/>
              </w:rPr>
              <w:t>wait_seconds_from_previous_step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int | None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7"/>
              </w:rPr>
              <w:t>Tiempo desde el paso anterior.</w:t>
            </w:r>
          </w:p>
        </w:tc>
      </w:tr>
    </w:tbl>
    <w:p>
      <w:r>
        <w:t>origin_tool_key define dónde nace la alarma. B.2 resolverá esta configuración hacia AlarmRouting preservando las reglas C1/C2/C3 ya calificadas.</w:t>
      </w:r>
    </w:p>
    <w:p>
      <w:pPr>
        <w:pStyle w:val="Heading1"/>
        <w:keepNext/>
      </w:pPr>
      <w:r>
        <w:t>10. Targets visuales</w:t>
      </w:r>
    </w:p>
    <w:p>
      <w:r>
        <w:t>La alarma puede referenciar dónde debe afectar visualmente dentro de una Tool.</w:t>
      </w:r>
    </w:p>
    <w:p>
      <w:pPr>
        <w:spacing w:after="80"/>
        <w:ind w:left="360"/>
      </w:pPr>
      <w:r>
        <w:rPr>
          <w:rFonts w:ascii="Consolas" w:hAnsi="Consolas"/>
          <w:sz w:val="17"/>
        </w:rPr>
        <w:t>tool_key</w:t>
        <w:br/>
        <w:t>component_keys[]</w:t>
        <w:br/>
        <w:t>subcomponent_keys[]</w:t>
      </w:r>
    </w:p>
    <w:p>
      <w:r>
        <w:t>Las relaciones Tool → Component → Subcomponent se validan contra la configuración publicada por cada Tool. Referenciarlas no transfiere ownership al dominio de alarmas.</w:t>
      </w:r>
    </w:p>
    <w:p>
      <w:pPr>
        <w:pStyle w:val="Heading1"/>
        <w:keepNext/>
        <w:pageBreakBefore/>
      </w:pPr>
      <w:r>
        <w:t>11. Ownership de Tool Configuration</w:t>
      </w:r>
    </w:p>
    <w:p>
      <w:r>
        <w:rPr>
          <w:b/>
        </w:rPr>
        <w:t xml:space="preserve">Decisión acordada: </w:t>
      </w:r>
      <w:r>
        <w:t>cada herramienta es dueña de su propia configuración. Alarm Configuration no define ni duplica Tools, Components, Subcomponents ni el tipo/tier de herramienta.</w:t>
      </w:r>
    </w:p>
    <w:p>
      <w:pPr>
        <w:spacing w:after="80"/>
        <w:ind w:left="360"/>
      </w:pPr>
      <w:r>
        <w:rPr>
          <w:rFonts w:ascii="Consolas" w:hAnsi="Consolas"/>
          <w:sz w:val="17"/>
        </w:rPr>
        <w:t>Tool Configuration</w:t>
        <w:br/>
        <w:t>├── tool_key</w:t>
        <w:br/>
        <w:t>├── tool_type / tool_tier</w:t>
        <w:br/>
        <w:t>│   ├── process</w:t>
        <w:br/>
        <w:t>│   ├── integrated_operations</w:t>
        <w:br/>
        <w:t>│   └── strategic</w:t>
        <w:br/>
        <w:t>├── components[]</w:t>
        <w:br/>
        <w:t>│   ├── component_key</w:t>
        <w:br/>
        <w:t>│   └── ...</w:t>
        <w:br/>
        <w:t>└── subcomponents[]</w:t>
        <w:br/>
        <w:t xml:space="preserve">    ├── subcomponent_key</w:t>
        <w:br/>
        <w:t xml:space="preserve">    ├── parent_component_key</w:t>
        <w:br/>
        <w:t xml:space="preserve">    └── ...</w:t>
      </w:r>
    </w:p>
    <w:p>
      <w:pPr>
        <w:pStyle w:val="Heading2"/>
        <w:keepNext/>
      </w:pPr>
      <w:r>
        <w:t>Consumo desde Cosmos DB</w:t>
      </w:r>
    </w:p>
    <w:p>
      <w:r>
        <w:t>La configuración publicada por cada Tool se proyectará a Cosmos DB cuando corresponda. Alarm Configuration consume esa proyección para descubrir y absorber referencias disponibles.</w:t>
      </w:r>
    </w:p>
    <w:p>
      <w:pPr>
        <w:spacing w:after="80"/>
        <w:ind w:left="360"/>
      </w:pPr>
      <w:r>
        <w:rPr>
          <w:rFonts w:ascii="Consolas" w:hAnsi="Consolas"/>
          <w:sz w:val="17"/>
        </w:rPr>
        <w:t>Cosmos DB — Tool Configuration Projection</w:t>
        <w:br/>
        <w:t xml:space="preserve">               │</w:t>
        <w:br/>
        <w:t xml:space="preserve">               ▼</w:t>
        <w:br/>
        <w:t>Alarm Configuration / Command Center</w:t>
        <w:br/>
        <w:t xml:space="preserve">               │</w:t>
        <w:br/>
        <w:t xml:space="preserve">               ├── tools existentes</w:t>
        <w:br/>
        <w:t xml:space="preserve">               ├── tipo/tier de cada tool</w:t>
        <w:br/>
        <w:t xml:space="preserve">               ├── components existentes</w:t>
        <w:br/>
        <w:t xml:space="preserve">               └── subcomponents existentes</w:t>
      </w:r>
    </w:p>
    <w:p>
      <w:pPr>
        <w:pStyle w:val="ListBullet"/>
      </w:pPr>
      <w:r>
        <w:t>tool_key pertenece a la Tool.</w:t>
      </w:r>
    </w:p>
    <w:p>
      <w:pPr>
        <w:pStyle w:val="ListBullet"/>
      </w:pPr>
      <w:r>
        <w:t>tool_type/tool_tier pertenece a la Tool.</w:t>
      </w:r>
    </w:p>
    <w:p>
      <w:pPr>
        <w:pStyle w:val="ListBullet"/>
      </w:pPr>
      <w:r>
        <w:t>component_key pertenece a la Tool.</w:t>
      </w:r>
    </w:p>
    <w:p>
      <w:pPr>
        <w:pStyle w:val="ListBullet"/>
      </w:pPr>
      <w:r>
        <w:t>subcomponent_key pertenece a la Tool.</w:t>
      </w:r>
    </w:p>
    <w:p>
      <w:pPr>
        <w:pStyle w:val="ListBullet"/>
      </w:pPr>
      <w:r>
        <w:t>La relación subcomponent → parent component pertenece a la Tool.</w:t>
      </w:r>
    </w:p>
    <w:p>
      <w:pPr>
        <w:pStyle w:val="ListBullet"/>
      </w:pPr>
      <w:r>
        <w:t>Alarm Configuration sólo almacena referencias a esos IDs.</w:t>
      </w:r>
    </w:p>
    <w:p>
      <w:pPr>
        <w:pStyle w:val="ListBullet"/>
      </w:pPr>
      <w:r>
        <w:t>No se mantienen catálogos manuales duplicados dentro del dominio de alarmas.</w:t>
      </w:r>
    </w:p>
    <w:p>
      <w:pPr>
        <w:pStyle w:val="ListBullet"/>
      </w:pPr>
      <w:r>
        <w:t>Si una referencia no existe en la proyección disponible de Cosmos, Alarm Configuration no puede considerarla resoluble hasta que la Tool publique/proyecte esa información.</w:t>
      </w:r>
    </w:p>
    <w:p>
      <w:pPr>
        <w:pStyle w:val="ListBullet"/>
      </w:pPr>
      <w:r>
        <w:t>B.2 valida las referencias al resolver una revisión.</w:t>
      </w:r>
    </w:p>
    <w:p>
      <w:pPr>
        <w:pStyle w:val="ListBullet"/>
      </w:pPr>
      <w:r>
        <w:t>Cosmos es plano de proyección/consumo; el ownership sigue perteneciendo a cada Tool.</w:t>
      </w:r>
    </w:p>
    <w:p>
      <w:pPr>
        <w:pStyle w:val="Heading1"/>
        <w:keepNext/>
      </w:pPr>
      <w:r>
        <w:t>12. Fronteras con frontend, configuración y runtime</w:t>
      </w:r>
    </w:p>
    <w:p>
      <w:pPr>
        <w:pStyle w:val="Heading2"/>
        <w:keepNext/>
      </w:pPr>
      <w:r>
        <w:t>Frontend</w:t>
      </w:r>
    </w:p>
    <w:p>
      <w:pPr>
        <w:pStyle w:val="ListBullet"/>
      </w:pPr>
      <w:r>
        <w:t>Edita/captura AlarmDefinition.</w:t>
      </w:r>
    </w:p>
    <w:p>
      <w:pPr>
        <w:pStyle w:val="ListBullet"/>
      </w:pPr>
      <w:r>
        <w:t>Consume catálogos/proyecciones para selectors y validaciones.</w:t>
      </w:r>
    </w:p>
    <w:p>
      <w:pPr>
        <w:pStyle w:val="ListBullet"/>
      </w:pPr>
      <w:r>
        <w:t>No crea PlannedAlarm.</w:t>
      </w:r>
    </w:p>
    <w:p>
      <w:pPr>
        <w:pStyle w:val="ListBullet"/>
      </w:pPr>
      <w:r>
        <w:t>No es dueño de lifecycle.</w:t>
      </w:r>
    </w:p>
    <w:p>
      <w:pPr>
        <w:pStyle w:val="ListBullet"/>
      </w:pPr>
      <w:r>
        <w:t>No define Tools/Components/Subcomponents.</w:t>
      </w:r>
    </w:p>
    <w:p>
      <w:pPr>
        <w:pStyle w:val="Heading2"/>
        <w:keepNext/>
      </w:pPr>
      <w:r>
        <w:t>B.1 — Canonical Alarm Definition</w:t>
      </w:r>
    </w:p>
    <w:p>
      <w:pPr>
        <w:pStyle w:val="ListBullet"/>
      </w:pPr>
      <w:r>
        <w:t>Define campos, tipos, invariantes locales, relaciones declarativas e IDs estables.</w:t>
      </w:r>
    </w:p>
    <w:p>
      <w:pPr>
        <w:pStyle w:val="ListBullet"/>
      </w:pPr>
      <w:r>
        <w:t>No conoce SharePoint, Cosmos físico, Dash, Flask ni loaders.</w:t>
      </w:r>
    </w:p>
    <w:p>
      <w:pPr>
        <w:pStyle w:val="Heading2"/>
        <w:keepNext/>
      </w:pPr>
      <w:r>
        <w:t>B.2 — Configuration Resolution</w:t>
      </w:r>
    </w:p>
    <w:p>
      <w:pPr>
        <w:pStyle w:val="ListBullet"/>
      </w:pPr>
      <w:r>
        <w:t>Resuelve revisión de configuración.</w:t>
      </w:r>
    </w:p>
    <w:p>
      <w:pPr>
        <w:pStyle w:val="ListBullet"/>
      </w:pPr>
      <w:r>
        <w:t>Valida referencias entre reglas y special_condition_keys.</w:t>
      </w:r>
    </w:p>
    <w:p>
      <w:pPr>
        <w:pStyle w:val="ListBullet"/>
      </w:pPr>
      <w:r>
        <w:t>Valida Tool/Component/Subcomponent contra proyecciones disponibles.</w:t>
      </w:r>
    </w:p>
    <w:p>
      <w:pPr>
        <w:pStyle w:val="ListBullet"/>
      </w:pPr>
      <w:r>
        <w:t>Resuelve escalamiento y contenido referenciado.</w:t>
      </w:r>
    </w:p>
    <w:p>
      <w:pPr>
        <w:pStyle w:val="ListBullet"/>
      </w:pPr>
      <w:r>
        <w:t>Transforma definición → PlannedAlarm y parámetros → AlarmExecutionEntry.</w:t>
      </w:r>
    </w:p>
    <w:p>
      <w:pPr>
        <w:pStyle w:val="Heading2"/>
        <w:keepNext/>
      </w:pPr>
      <w:r>
        <w:t>A.3 — Alarm Runtime</w:t>
      </w:r>
    </w:p>
    <w:p>
      <w:pPr>
        <w:pStyle w:val="ListBullet"/>
      </w:pPr>
      <w:r>
        <w:t>Consume contratos resueltos.</w:t>
      </w:r>
    </w:p>
    <w:p>
      <w:pPr>
        <w:pStyle w:val="ListBullet"/>
      </w:pPr>
      <w:r>
        <w:t>Conserva lifecycle, evaluación, prioridad, management, reaparición, escalamiento, persistencia, recovery y drain.</w:t>
      </w:r>
    </w:p>
    <w:p>
      <w:pPr>
        <w:pStyle w:val="Heading1"/>
        <w:keepNext/>
      </w:pPr>
      <w:r>
        <w:t>13. Campos históricos de falarm que no deben perderse</w:t>
      </w:r>
    </w:p>
    <w:p>
      <w:pPr>
        <w:spacing w:after="80"/>
        <w:ind w:left="360"/>
      </w:pPr>
      <w:r>
        <w:rPr>
          <w:rFonts w:ascii="Consolas" w:hAnsi="Consolas"/>
          <w:sz w:val="17"/>
        </w:rPr>
        <w:t>rule_key</w:t>
        <w:br/>
        <w:t>family_key</w:t>
        <w:br/>
        <w:t>rule_name</w:t>
        <w:br/>
        <w:t>display_name</w:t>
        <w:br/>
        <w:t>title_template</w:t>
        <w:br/>
        <w:t>cause_template</w:t>
        <w:br/>
        <w:t>content_key</w:t>
        <w:br/>
        <w:t>kind</w:t>
        <w:br/>
        <w:t>criticality_code</w:t>
        <w:br/>
        <w:t>business_category</w:t>
        <w:br/>
        <w:t>visibility_mode</w:t>
        <w:br/>
        <w:t>scope_key</w:t>
        <w:br/>
        <w:t>priority_order</w:t>
        <w:br/>
        <w:t>origin_tool_key</w:t>
        <w:br/>
        <w:t>operator_bucket</w:t>
        <w:br/>
        <w:t>color</w:t>
        <w:br/>
        <w:t>reappear_if_still_active_enabled</w:t>
        <w:br/>
        <w:t>reappear_after_management_minutes</w:t>
        <w:br/>
        <w:t>continue_escalation_clock_when_hidden</w:t>
        <w:br/>
        <w:t>use_message_management_override</w:t>
        <w:br/>
        <w:t>is_active</w:t>
      </w:r>
    </w:p>
    <w:p>
      <w:r>
        <w:t>También existían modelos separados para escalation targets, visual targets, Tool catalog, Component catalog y Subcomponent catalog. Este inventario es cantera histórica, no esquema a copiar sin reconciliación.</w:t>
      </w:r>
    </w:p>
    <w:p>
      <w:pPr>
        <w:pStyle w:val="Heading1"/>
        <w:keepNext/>
      </w:pPr>
      <w:r>
        <w:t>14. Pendientes antes de congelar B.1</w:t>
      </w:r>
    </w:p>
    <w:p>
      <w:pPr>
        <w:pStyle w:val="ListNumber"/>
      </w:pPr>
      <w:r>
        <w:t>Reconciliar rule_key / rule_name / AlarmIdentity.alarm_key.</w:t>
      </w:r>
    </w:p>
    <w:p>
      <w:pPr>
        <w:pStyle w:val="ListNumber"/>
      </w:pPr>
      <w:r>
        <w:t>Reconciliar scope_key / priority_group.</w:t>
      </w:r>
    </w:p>
    <w:p>
      <w:pPr>
        <w:pStyle w:val="ListNumber"/>
      </w:pPr>
      <w:r>
        <w:t>Definir forma final del bloque de contenido: content_key, message_key, image_key y templates.</w:t>
      </w:r>
    </w:p>
    <w:p>
      <w:pPr>
        <w:pStyle w:val="ListNumber"/>
      </w:pPr>
      <w:r>
        <w:t>Definir tipos permitidos de evaluation.parameters.</w:t>
      </w:r>
    </w:p>
    <w:p>
      <w:pPr>
        <w:pStyle w:val="ListNumber"/>
      </w:pPr>
      <w:r>
        <w:t>Reconciliar explicit_deactivation_response_required con DeactivationPolicy.</w:t>
      </w:r>
    </w:p>
    <w:p>
      <w:pPr>
        <w:pStyle w:val="ListNumber"/>
      </w:pPr>
      <w:r>
        <w:t>Precisar estructura física de reaparición y referencias a condiciones especiales.</w:t>
      </w:r>
    </w:p>
    <w:p>
      <w:pPr>
        <w:pStyle w:val="ListNumber"/>
      </w:pPr>
      <w:r>
        <w:t>Separar invariantes locales B.1 de validaciones B.2 dependientes de catálogos externos.</w:t>
      </w:r>
    </w:p>
    <w:p>
      <w:pPr>
        <w:pStyle w:val="ListNumber"/>
      </w:pPr>
      <w:r>
        <w:t>Definir contrato de proyección de Tool Configuration consumido desde Cosmos sin transferir ownership.</w:t>
      </w:r>
    </w:p>
    <w:p>
      <w:pPr>
        <w:pStyle w:val="ListNumber"/>
      </w:pPr>
      <w:r>
        <w:t>Confirmar si operator_bucket y use_message_management_override siguen siendo necesarios.</w:t>
      </w:r>
    </w:p>
    <w:p>
      <w:pPr>
        <w:pStyle w:val="ListNumber"/>
      </w:pPr>
      <w:r>
        <w:t>Congelar nombres finales antes de modificar código.</w:t>
      </w:r>
    </w:p>
    <w:p>
      <w:pPr>
        <w:pStyle w:val="Heading1"/>
        <w:keepNext/>
      </w:pPr>
      <w:r>
        <w:t>15. Estado</w:t>
      </w:r>
    </w:p>
    <w:p>
      <w:pPr>
        <w:spacing w:after="80"/>
        <w:ind w:left="360"/>
      </w:pPr>
      <w:r>
        <w:rPr>
          <w:rFonts w:ascii="Consolas" w:hAnsi="Consolas"/>
          <w:sz w:val="17"/>
        </w:rPr>
        <w:t>Documento: DRAFT</w:t>
        <w:br/>
        <w:t>Implementación B.1: NO INICIADA</w:t>
        <w:br/>
        <w:t>Contrato final: NO CONGELADO</w:t>
        <w:br/>
        <w:t>GitHub: READ-ONLY</w:t>
      </w:r>
    </w:p>
    <w:p>
      <w:r>
        <w:t>Este documento debe actualizarse durante la discusión y convertirse en checkpoint contractual cuando 006B.1 quede finalmente acordado.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Atlanticus / ADA Command Center — R3.6M-006B.1 —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