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left"/>
        <w:widowControl/>
      </w:pPr>
      <w:r>
        <w:rPr>
          <w:rFonts w:ascii="Aptos Display" w:hAnsi="Aptos Display"/>
          <w:b/>
          <w:color w:val="B18A45"/>
          <w:sz w:val="26"/>
        </w:rPr>
        <w:t>ATLANTICUS / ADA</w:t>
      </w:r>
    </w:p>
    <w:p>
      <w:pPr>
        <w:pStyle w:val="Title"/>
        <w:spacing w:before="80" w:after="160"/>
        <w:widowControl/>
      </w:pPr>
      <w:r>
        <w:t>Upgrade de Source Storage</w:t>
        <w:br/>
        <w:t>SharePoint → Azure Blob Storage</w:t>
      </w:r>
    </w:p>
    <w:p>
      <w:pPr>
        <w:spacing w:after="400"/>
        <w:widowControl/>
      </w:pPr>
      <w:r>
        <w:rPr>
          <w:rFonts w:ascii="Aptos" w:hAnsi="Aptos"/>
          <w:color w:val="5D6873"/>
          <w:sz w:val="26"/>
        </w:rPr>
        <w:t>Evaluación conceptual y definición de trabajo pendiente</w:t>
      </w:r>
    </w:p>
    <w:tbl>
      <w:tblPr>
        <w:tblW w:type="auto" w:w="0"/>
        <w:jc w:val="left"/>
        <w:tblLook w:firstColumn="1" w:firstRow="1" w:lastColumn="0" w:lastRow="0" w:noHBand="0" w:noVBand="1" w:val="04A0"/>
      </w:tblPr>
      <w:tblGrid>
        <w:gridCol w:w="3331"/>
        <w:gridCol w:w="3331"/>
        <w:gridCol w:w="3331"/>
      </w:tblGrid>
      <w:tr>
        <w:tc>
          <w:tcPr>
            <w:tcW w:type="dxa" w:w="1944"/>
            <w:tcMar>
              <w:top w:w="90" w:type="dxa"/>
              <w:start w:w="110" w:type="dxa"/>
              <w:bottom w:w="90" w:type="dxa"/>
              <w:end w:w="110" w:type="dxa"/>
            </w:tcMar>
            <w:shd w:fill="17324D"/>
            <w:vAlign w:val="center"/>
          </w:tcPr>
          <w:p>
            <w:pPr>
              <w:spacing w:after="0"/>
            </w:pPr>
            <w:r>
              <w:rPr>
                <w:rFonts w:ascii="Aptos" w:hAnsi="Aptos"/>
                <w:b/>
                <w:color w:val="FFFFFF"/>
                <w:sz w:val="18"/>
              </w:rPr>
              <w:t>Estado</w:t>
            </w:r>
          </w:p>
        </w:tc>
        <w:tc>
          <w:tcPr>
            <w:tcW w:type="dxa" w:w="3888"/>
            <w:tcMar>
              <w:top w:w="90" w:type="dxa"/>
              <w:start w:w="110" w:type="dxa"/>
              <w:bottom w:w="90" w:type="dxa"/>
              <w:end w:w="110" w:type="dxa"/>
            </w:tcMar>
            <w:shd w:fill="17324D"/>
            <w:vAlign w:val="center"/>
          </w:tcPr>
          <w:p>
            <w:pPr>
              <w:spacing w:after="0"/>
            </w:pPr>
            <w:r>
              <w:rPr>
                <w:rFonts w:ascii="Aptos" w:hAnsi="Aptos"/>
                <w:b/>
                <w:color w:val="FFFFFF"/>
                <w:sz w:val="18"/>
              </w:rPr>
              <w:t>Fecha</w:t>
            </w:r>
          </w:p>
        </w:tc>
        <w:tc>
          <w:tcPr>
            <w:tcW w:type="dxa" w:w="3456"/>
            <w:tcMar>
              <w:top w:w="90" w:type="dxa"/>
              <w:start w:w="110" w:type="dxa"/>
              <w:bottom w:w="90" w:type="dxa"/>
              <w:end w:w="110" w:type="dxa"/>
            </w:tcMar>
            <w:shd w:fill="17324D"/>
            <w:vAlign w:val="center"/>
          </w:tcPr>
          <w:p>
            <w:pPr>
              <w:spacing w:after="0"/>
            </w:pPr>
            <w:r>
              <w:rPr>
                <w:rFonts w:ascii="Aptos" w:hAnsi="Aptos"/>
                <w:b/>
                <w:color w:val="FFFFFF"/>
                <w:sz w:val="18"/>
              </w:rPr>
              <w:t>Alcance</w:t>
            </w:r>
          </w:p>
        </w:tc>
      </w:tr>
      <w:tr>
        <w:tc>
          <w:tcPr>
            <w:tcW w:type="dxa" w:w="1944"/>
            <w:tcMar>
              <w:top w:w="90" w:type="dxa"/>
              <w:start w:w="110" w:type="dxa"/>
              <w:bottom w:w="90" w:type="dxa"/>
              <w:end w:w="110" w:type="dxa"/>
            </w:tcMar>
            <w:shd w:fill="F4F6F8"/>
            <w:vAlign w:val="center"/>
          </w:tcPr>
          <w:p>
            <w:pPr>
              <w:spacing w:after="0"/>
            </w:pPr>
            <w:r>
              <w:rPr>
                <w:rFonts w:ascii="Aptos" w:hAnsi="Aptos"/>
                <w:b/>
                <w:color w:val="9A6A17"/>
                <w:sz w:val="19"/>
              </w:rPr>
              <w:t>PENDIENTE</w:t>
            </w:r>
          </w:p>
        </w:tc>
        <w:tc>
          <w:tcPr>
            <w:tcW w:type="dxa" w:w="3888"/>
            <w:tcMar>
              <w:top w:w="90" w:type="dxa"/>
              <w:start w:w="110" w:type="dxa"/>
              <w:bottom w:w="90" w:type="dxa"/>
              <w:end w:w="110" w:type="dxa"/>
            </w:tcMar>
            <w:shd w:fill="F4F6F8"/>
            <w:vAlign w:val="center"/>
          </w:tcPr>
          <w:p>
            <w:pPr>
              <w:spacing w:after="0"/>
            </w:pPr>
            <w:r>
              <w:rPr>
                <w:rFonts w:ascii="Aptos" w:hAnsi="Aptos"/>
                <w:b w:val="0"/>
                <w:color w:val="222222"/>
                <w:sz w:val="19"/>
              </w:rPr>
              <w:t>10-09-2026</w:t>
            </w:r>
          </w:p>
        </w:tc>
        <w:tc>
          <w:tcPr>
            <w:tcW w:type="dxa" w:w="3456"/>
            <w:tcMar>
              <w:top w:w="90" w:type="dxa"/>
              <w:start w:w="110" w:type="dxa"/>
              <w:bottom w:w="90" w:type="dxa"/>
              <w:end w:w="110" w:type="dxa"/>
            </w:tcMar>
            <w:shd w:fill="F4F6F8"/>
            <w:vAlign w:val="center"/>
          </w:tcPr>
          <w:p>
            <w:pPr>
              <w:spacing w:after="0"/>
            </w:pPr>
            <w:r>
              <w:rPr>
                <w:rFonts w:ascii="Aptos" w:hAnsi="Aptos"/>
                <w:b w:val="0"/>
                <w:color w:val="222222"/>
                <w:sz w:val="19"/>
              </w:rPr>
              <w:t>Diseño / sin implementación</w:t>
            </w:r>
          </w:p>
        </w:tc>
      </w:tr>
    </w:tbl>
    <w:p>
      <w:pPr>
        <w:spacing w:before="440"/>
        <w:widowControl/>
      </w:pPr>
      <w:r>
        <w:rPr>
          <w:b/>
          <w:color w:val="17324D"/>
          <w:sz w:val="22"/>
        </w:rPr>
        <w:t>Propósito</w:t>
      </w:r>
    </w:p>
    <w:p>
      <w:pPr>
        <w:spacing w:after="200"/>
        <w:widowControl/>
      </w:pPr>
      <w:r>
        <w:t>Registrar la dirección arquitectónica acordada para sustituir SharePoint + Power Automate como Source productivo por Azure Blob Storage, manteniendo Local como equivalente de desarrollo/QA y Cosmos DB / Local como destinos de proyección. Este documento no autoriza implementación; deja preparado el trabajo para su posterior congelamiento contractual.</w:t>
      </w:r>
    </w:p>
    <w:tbl>
      <w:tblPr>
        <w:tblW w:type="auto" w:w="0"/>
        <w:jc w:val="center"/>
        <w:tblLayout w:type="autofit"/>
        <w:tblLook w:firstColumn="1" w:firstRow="1" w:lastColumn="0" w:lastRow="0" w:noHBand="0" w:noVBand="1" w:val="04A0"/>
      </w:tblPr>
      <w:tblGrid>
        <w:gridCol w:w="9994"/>
      </w:tblGrid>
      <w:tr>
        <w:trPr>
          <w:cantSplit/>
        </w:trPr>
        <w:tc>
          <w:tcPr>
            <w:tcW w:type="dxa" w:w="9994"/>
            <w:shd w:fill="EEF5F1"/>
            <w:tcMar>
              <w:top w:w="130" w:type="dxa"/>
              <w:start w:w="150" w:type="dxa"/>
              <w:bottom w:w="130" w:type="dxa"/>
              <w:end w:w="150" w:type="dxa"/>
            </w:tcMar>
            <w:tcBorders>
              <w:top w:val="single" w:sz="8" w:color="2F6B4F"/>
              <w:left w:val="single" w:sz="8" w:color="2F6B4F"/>
              <w:bottom w:val="single" w:sz="8" w:color="2F6B4F"/>
              <w:right w:val="single" w:sz="8" w:color="2F6B4F"/>
            </w:tcBorders>
          </w:tcPr>
          <w:p>
            <w:pPr>
              <w:spacing w:after="60"/>
            </w:pPr>
            <w:r>
              <w:rPr>
                <w:b/>
                <w:color w:val="17324D"/>
                <w:sz w:val="20"/>
              </w:rPr>
              <w:t>Decisión de dirección</w:t>
            </w:r>
          </w:p>
          <w:p>
            <w:pPr>
              <w:spacing w:after="0"/>
            </w:pPr>
            <w:r>
              <w:rPr>
                <w:sz w:val="20"/>
              </w:rPr>
              <w:t>Se considera técnicamente favorable avanzar con Azure Blob Storage como Source durable de configuración. El historial funcional será gestionado por Atlanticus mediante snapshots completos, explícitos e inmutables; no dependerá del versionado nativo de Blob.</w:t>
            </w:r>
          </w:p>
        </w:tc>
      </w:tr>
    </w:tbl>
    <w:p>
      <w:pPr>
        <w:widowControl/>
      </w:pPr>
      <w:r>
        <w:br w:type="page"/>
      </w:r>
    </w:p>
    <w:p>
      <w:pPr>
        <w:pStyle w:val="Heading1"/>
        <w:widowControl/>
      </w:pPr>
      <w:r>
        <w:t>1. Contexto y objetivo</w:t>
      </w:r>
    </w:p>
    <w:p>
      <w:pPr>
        <w:widowControl/>
      </w:pPr>
      <w:r>
        <w:t>El flujo actual de Atlanticus/ADA utiliza dos ejes independientes: un Source de configuración y un destino de proyección. La propuesta mantiene esa separación y cambia únicamente la implementación productiva del Source.</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ACTUAL</w:t>
            </w:r>
            <w:r>
              <w:br/>
            </w:r>
            <w:r>
              <w:rPr>
                <w:rFonts w:ascii="Liberation Mono" w:hAnsi="Liberation Mono"/>
                <w:color w:val="222222"/>
                <w:sz w:val="17"/>
              </w:rPr>
            </w:r>
            <w:r>
              <w:br/>
            </w:r>
            <w:r>
              <w:rPr>
                <w:rFonts w:ascii="Liberation Mono" w:hAnsi="Liberation Mono"/>
                <w:color w:val="222222"/>
                <w:sz w:val="17"/>
              </w:rPr>
              <w:t>Source:      SharePoint | Local</w:t>
            </w:r>
            <w:r>
              <w:br/>
            </w:r>
            <w:r>
              <w:rPr>
                <w:rFonts w:ascii="Liberation Mono" w:hAnsi="Liberation Mono"/>
                <w:color w:val="222222"/>
                <w:sz w:val="17"/>
              </w:rPr>
              <w:t>Projection:  Cosmos DB  | Local</w:t>
            </w:r>
            <w:r>
              <w:br/>
            </w:r>
            <w:r>
              <w:rPr>
                <w:rFonts w:ascii="Liberation Mono" w:hAnsi="Liberation Mono"/>
                <w:color w:val="222222"/>
                <w:sz w:val="17"/>
              </w:rPr>
            </w:r>
            <w:r>
              <w:br/>
            </w:r>
            <w:r>
              <w:rPr>
                <w:rFonts w:ascii="Liberation Mono" w:hAnsi="Liberation Mono"/>
                <w:color w:val="222222"/>
                <w:sz w:val="17"/>
              </w:rPr>
              <w:t>PROPUESTO</w:t>
            </w:r>
            <w:r>
              <w:br/>
            </w:r>
            <w:r>
              <w:rPr>
                <w:rFonts w:ascii="Liberation Mono" w:hAnsi="Liberation Mono"/>
                <w:color w:val="222222"/>
                <w:sz w:val="17"/>
              </w:rPr>
            </w:r>
            <w:r>
              <w:br/>
            </w:r>
            <w:r>
              <w:rPr>
                <w:rFonts w:ascii="Liberation Mono" w:hAnsi="Liberation Mono"/>
                <w:color w:val="222222"/>
                <w:sz w:val="17"/>
              </w:rPr>
              <w:t>Source:      Azure Blob Storage | Local</w:t>
            </w:r>
            <w:r>
              <w:br/>
            </w:r>
            <w:r>
              <w:rPr>
                <w:rFonts w:ascii="Liberation Mono" w:hAnsi="Liberation Mono"/>
                <w:color w:val="222222"/>
                <w:sz w:val="17"/>
              </w:rPr>
              <w:t>Projection:  Cosmos DB          | Local</w:t>
            </w:r>
          </w:p>
        </w:tc>
      </w:tr>
    </w:tbl>
    <w:p>
      <w:pPr>
        <w:widowControl/>
      </w:pPr>
      <w:r>
        <w:t>El objetivo no es trasladar archivos desde SharePoint a Blob sin cambiar el modelo. El upgrade debe aprovechar el cambio para fortalecer versionado, trazabilidad, recuperación, comparación de configuraciones y control de concurrencia, manteniendo el Manager como interfaz humana de administración.</w:t>
      </w:r>
    </w:p>
    <w:p>
      <w:pPr>
        <w:pStyle w:val="Heading1"/>
        <w:widowControl/>
      </w:pPr>
      <w:r>
        <w:t>2. Decisiones conceptuales acordadas</w:t>
      </w:r>
    </w:p>
    <w:p>
      <w:pPr>
        <w:pStyle w:val="ListBullet"/>
        <w:spacing w:after="50"/>
        <w:ind w:left="360" w:hanging="173"/>
        <w:widowControl/>
      </w:pPr>
      <w:r>
        <w:rPr>
          <w:rFonts w:ascii="Aptos" w:hAnsi="Aptos"/>
          <w:sz w:val="20"/>
        </w:rPr>
        <w:t>SharePoint deja de ser el Source productivo de configuración de este flujo y Azure Blob Storage toma ese rol.</w:t>
      </w:r>
    </w:p>
    <w:p>
      <w:pPr>
        <w:pStyle w:val="ListBullet"/>
        <w:spacing w:after="50"/>
        <w:ind w:left="360" w:hanging="173"/>
        <w:widowControl/>
      </w:pPr>
      <w:r>
        <w:rPr>
          <w:rFonts w:ascii="Aptos" w:hAnsi="Aptos"/>
          <w:sz w:val="20"/>
        </w:rPr>
        <w:t>Power Automate deja de formar parte del pipeline de persistencia/publicación asociado a este Source.</w:t>
      </w:r>
    </w:p>
    <w:p>
      <w:pPr>
        <w:pStyle w:val="ListBullet"/>
        <w:spacing w:after="50"/>
        <w:ind w:left="360" w:hanging="173"/>
        <w:widowControl/>
      </w:pPr>
      <w:r>
        <w:rPr>
          <w:rFonts w:ascii="Aptos" w:hAnsi="Aptos"/>
          <w:sz w:val="20"/>
        </w:rPr>
        <w:t>Local se mantiene como implementación equivalente del Source para desarrollo, QA y operación local.</w:t>
      </w:r>
    </w:p>
    <w:p>
      <w:pPr>
        <w:pStyle w:val="ListBullet"/>
        <w:spacing w:after="50"/>
        <w:ind w:left="360" w:hanging="173"/>
        <w:widowControl/>
      </w:pPr>
      <w:r>
        <w:rPr>
          <w:rFonts w:ascii="Aptos" w:hAnsi="Aptos"/>
          <w:sz w:val="20"/>
        </w:rPr>
        <w:t>Cosmos DB / Local continúan como Projection Stores; no se rediseñan como consecuencia de este cambio.</w:t>
      </w:r>
    </w:p>
    <w:p>
      <w:pPr>
        <w:pStyle w:val="ListBullet"/>
        <w:spacing w:after="50"/>
        <w:ind w:left="360" w:hanging="173"/>
        <w:widowControl/>
      </w:pPr>
      <w:r>
        <w:rPr>
          <w:rFonts w:ascii="Aptos" w:hAnsi="Aptos"/>
          <w:sz w:val="20"/>
        </w:rPr>
        <w:t>Cada guardado efectivo en Source genera una nueva versión lógica de Atlanticus.</w:t>
      </w:r>
    </w:p>
    <w:p>
      <w:pPr>
        <w:pStyle w:val="ListBullet"/>
        <w:spacing w:after="50"/>
        <w:ind w:left="360" w:hanging="173"/>
        <w:widowControl/>
      </w:pPr>
      <w:r>
        <w:rPr>
          <w:rFonts w:ascii="Aptos" w:hAnsi="Aptos"/>
          <w:sz w:val="20"/>
        </w:rPr>
        <w:t>Cada versión es un snapshot completo y autocontenido del conjunto publicable; no se almacenan deltas como mecanismo primario.</w:t>
      </w:r>
    </w:p>
    <w:p>
      <w:pPr>
        <w:pStyle w:val="ListBullet"/>
        <w:spacing w:after="50"/>
        <w:ind w:left="360" w:hanging="173"/>
        <w:widowControl/>
      </w:pPr>
      <w:r>
        <w:rPr>
          <w:rFonts w:ascii="Aptos" w:hAnsi="Aptos"/>
          <w:sz w:val="20"/>
        </w:rPr>
        <w:t>Una versión publicada nunca se modifica ni se reemplaza físicamente por otra versión funcional.</w:t>
      </w:r>
    </w:p>
    <w:p>
      <w:pPr>
        <w:pStyle w:val="ListBullet"/>
        <w:spacing w:after="50"/>
        <w:ind w:left="360" w:hanging="173"/>
        <w:widowControl/>
      </w:pPr>
      <w:r>
        <w:rPr>
          <w:rFonts w:ascii="Aptos" w:hAnsi="Aptos"/>
          <w:sz w:val="20"/>
        </w:rPr>
        <w:t>El versionado nativo de Azure Blob no se utiliza como historial funcional de Atlanticus; puede existir únicamente como protección adicional de infraestructura.</w:t>
      </w:r>
    </w:p>
    <w:p>
      <w:pPr>
        <w:pStyle w:val="ListBullet"/>
        <w:spacing w:after="50"/>
        <w:ind w:left="360" w:hanging="173"/>
        <w:widowControl/>
      </w:pPr>
      <w:r>
        <w:rPr>
          <w:rFonts w:ascii="Aptos" w:hAnsi="Aptos"/>
          <w:sz w:val="20"/>
        </w:rPr>
        <w:t>El manifest continúa siendo parte autoritativa del release y debe permitir detectar integridad, procedencia y cambios.</w:t>
      </w:r>
    </w:p>
    <w:p>
      <w:pPr>
        <w:pStyle w:val="ListBullet"/>
        <w:spacing w:after="50"/>
        <w:ind w:left="360" w:hanging="173"/>
        <w:widowControl/>
      </w:pPr>
      <w:r>
        <w:rPr>
          <w:rFonts w:ascii="Aptos" w:hAnsi="Aptos"/>
          <w:sz w:val="20"/>
        </w:rPr>
        <w:t>La detección de conflicto en el frontend se conserva, pero la garantía autoritativa de concurrencia debe permanecer en backend.</w:t>
      </w:r>
    </w:p>
    <w:p>
      <w:pPr>
        <w:widowControl/>
      </w:pPr>
      <w:r>
        <w:br w:type="page"/>
      </w:r>
    </w:p>
    <w:p>
      <w:pPr>
        <w:pStyle w:val="Heading1"/>
        <w:widowControl/>
      </w:pPr>
      <w:r>
        <w:t>3. Principio de historial inmutable</w:t>
      </w:r>
    </w:p>
    <w:p>
      <w:pPr>
        <w:widowControl/>
      </w:pPr>
      <w:r>
        <w:t>El historial se modelará como una secuencia de publicaciones, no como una cadena de archivos que se sobrescriben. Recuperar un estado anterior crea una versión nueva; nunca altera la versión histórica seleccionada ni elimina las versiones posteriores.</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Ejemplo</w:t>
            </w:r>
            <w:r>
              <w:br/>
            </w:r>
            <w:r>
              <w:rPr>
                <w:rFonts w:ascii="Liberation Mono" w:hAnsi="Liberation Mono"/>
                <w:color w:val="222222"/>
                <w:sz w:val="17"/>
              </w:rPr>
            </w:r>
            <w:r>
              <w:br/>
            </w:r>
            <w:r>
              <w:rPr>
                <w:rFonts w:ascii="Liberation Mono" w:hAnsi="Liberation Mono"/>
                <w:color w:val="222222"/>
                <w:sz w:val="17"/>
              </w:rPr>
              <w:t>V1  estado original</w:t>
            </w:r>
            <w:r>
              <w:br/>
            </w:r>
            <w:r>
              <w:rPr>
                <w:rFonts w:ascii="Liberation Mono" w:hAnsi="Liberation Mono"/>
                <w:color w:val="222222"/>
                <w:sz w:val="17"/>
              </w:rPr>
              <w:t>V2  cambio posterior</w:t>
            </w:r>
            <w:r>
              <w:br/>
            </w:r>
            <w:r>
              <w:rPr>
                <w:rFonts w:ascii="Liberation Mono" w:hAnsi="Liberation Mono"/>
                <w:color w:val="222222"/>
                <w:sz w:val="17"/>
              </w:rPr>
              <w:t>V3  nuevo guardado tomando V1 como base</w:t>
            </w:r>
            <w:r>
              <w:br/>
            </w:r>
            <w:r>
              <w:rPr>
                <w:rFonts w:ascii="Liberation Mono" w:hAnsi="Liberation Mono"/>
                <w:color w:val="222222"/>
                <w:sz w:val="17"/>
              </w:rPr>
            </w:r>
            <w:r>
              <w:br/>
            </w:r>
            <w:r>
              <w:rPr>
                <w:rFonts w:ascii="Liberation Mono" w:hAnsi="Liberation Mono"/>
                <w:color w:val="222222"/>
                <w:sz w:val="17"/>
              </w:rPr>
              <w:t>Current → V3</w:t>
            </w:r>
            <w:r>
              <w:br/>
            </w:r>
            <w:r>
              <w:rPr>
                <w:rFonts w:ascii="Liberation Mono" w:hAnsi="Liberation Mono"/>
                <w:color w:val="222222"/>
                <w:sz w:val="17"/>
              </w:rPr>
            </w:r>
            <w:r>
              <w:br/>
            </w:r>
            <w:r>
              <w:rPr>
                <w:rFonts w:ascii="Liberation Mono" w:hAnsi="Liberation Mono"/>
                <w:color w:val="222222"/>
                <w:sz w:val="17"/>
              </w:rPr>
              <w:t>V1 y V2 permanecen intactas.</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FFF8E8"/>
            <w:tcMar>
              <w:top w:w="130" w:type="dxa"/>
              <w:start w:w="150" w:type="dxa"/>
              <w:bottom w:w="130" w:type="dxa"/>
              <w:end w:w="150" w:type="dxa"/>
            </w:tcMar>
            <w:tcBorders>
              <w:top w:val="single" w:sz="8" w:color="B18A45"/>
              <w:left w:val="single" w:sz="8" w:color="B18A45"/>
              <w:bottom w:val="single" w:sz="8" w:color="B18A45"/>
              <w:right w:val="single" w:sz="8" w:color="B18A45"/>
            </w:tcBorders>
          </w:tcPr>
          <w:p>
            <w:pPr>
              <w:spacing w:after="60"/>
            </w:pPr>
            <w:r>
              <w:rPr>
                <w:b/>
                <w:color w:val="17324D"/>
                <w:sz w:val="20"/>
              </w:rPr>
              <w:t>Regla</w:t>
            </w:r>
          </w:p>
          <w:p>
            <w:pPr>
              <w:spacing w:after="0"/>
            </w:pPr>
            <w:r>
              <w:rPr>
                <w:sz w:val="20"/>
              </w:rPr>
              <w:t>“Volver a V1” no significa restaurar V1 sobre V2. Significa cargar V1 como base y, al publicar, crear V3 con ese contenido. La cronología y la evidencia histórica permanecen intactas.</w:t>
            </w:r>
          </w:p>
        </w:tc>
      </w:tr>
    </w:tbl>
    <w:p>
      <w:pPr>
        <w:pStyle w:val="Heading1"/>
        <w:widowControl/>
      </w:pPr>
      <w:r>
        <w:t>4. Ciclo conceptual de publicación</w:t>
      </w:r>
    </w:p>
    <w:p>
      <w:pPr>
        <w:widowControl/>
      </w:pPr>
      <w:r>
        <w:t>El flujo funcional existente se conserva como referencia y se refuerza alrededor de la generación de releases. Guardar borrador no debe incrementar la versión Source; la versión nace únicamente al completar “Guardar en Source”.</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Workspace</w:t>
            </w:r>
            <w:r>
              <w:br/>
            </w:r>
            <w:r>
              <w:rPr>
                <w:rFonts w:ascii="Liberation Mono" w:hAnsi="Liberation Mono"/>
                <w:color w:val="222222"/>
                <w:sz w:val="17"/>
              </w:rPr>
              <w:t xml:space="preserve">   ↓</w:t>
            </w:r>
            <w:r>
              <w:br/>
            </w:r>
            <w:r>
              <w:rPr>
                <w:rFonts w:ascii="Liberation Mono" w:hAnsi="Liberation Mono"/>
                <w:color w:val="222222"/>
                <w:sz w:val="17"/>
              </w:rPr>
              <w:t>Guardar borrador        (sin nueva versión Source)</w:t>
            </w:r>
            <w:r>
              <w:br/>
            </w:r>
            <w:r>
              <w:rPr>
                <w:rFonts w:ascii="Liberation Mono" w:hAnsi="Liberation Mono"/>
                <w:color w:val="222222"/>
                <w:sz w:val="17"/>
              </w:rPr>
              <w:t xml:space="preserve">   ↓</w:t>
            </w:r>
            <w:r>
              <w:br/>
            </w:r>
            <w:r>
              <w:rPr>
                <w:rFonts w:ascii="Liberation Mono" w:hAnsi="Liberation Mono"/>
                <w:color w:val="222222"/>
                <w:sz w:val="17"/>
              </w:rPr>
              <w:t>Validar</w:t>
            </w:r>
            <w:r>
              <w:br/>
            </w:r>
            <w:r>
              <w:rPr>
                <w:rFonts w:ascii="Liberation Mono" w:hAnsi="Liberation Mono"/>
                <w:color w:val="222222"/>
                <w:sz w:val="17"/>
              </w:rPr>
              <w:t xml:space="preserve">   ↓</w:t>
            </w:r>
            <w:r>
              <w:br/>
            </w:r>
            <w:r>
              <w:rPr>
                <w:rFonts w:ascii="Liberation Mono" w:hAnsi="Liberation Mono"/>
                <w:color w:val="222222"/>
                <w:sz w:val="17"/>
              </w:rPr>
              <w:t>Verificar Source</w:t>
            </w:r>
            <w:r>
              <w:br/>
            </w:r>
            <w:r>
              <w:rPr>
                <w:rFonts w:ascii="Liberation Mono" w:hAnsi="Liberation Mono"/>
                <w:color w:val="222222"/>
                <w:sz w:val="17"/>
              </w:rPr>
              <w:t xml:space="preserve">   ↓</w:t>
            </w:r>
            <w:r>
              <w:br/>
            </w:r>
            <w:r>
              <w:rPr>
                <w:rFonts w:ascii="Liberation Mono" w:hAnsi="Liberation Mono"/>
                <w:color w:val="222222"/>
                <w:sz w:val="17"/>
              </w:rPr>
              <w:t>Generar snapshot completo</w:t>
            </w:r>
            <w:r>
              <w:br/>
            </w:r>
            <w:r>
              <w:rPr>
                <w:rFonts w:ascii="Liberation Mono" w:hAnsi="Liberation Mono"/>
                <w:color w:val="222222"/>
                <w:sz w:val="17"/>
              </w:rPr>
              <w:t xml:space="preserve">   ↓</w:t>
            </w:r>
            <w:r>
              <w:br/>
            </w:r>
            <w:r>
              <w:rPr>
                <w:rFonts w:ascii="Liberation Mono" w:hAnsi="Liberation Mono"/>
                <w:color w:val="222222"/>
                <w:sz w:val="17"/>
              </w:rPr>
              <w:t>Generar / validar manifest y hashes</w:t>
            </w:r>
            <w:r>
              <w:br/>
            </w:r>
            <w:r>
              <w:rPr>
                <w:rFonts w:ascii="Liberation Mono" w:hAnsi="Liberation Mono"/>
                <w:color w:val="222222"/>
                <w:sz w:val="17"/>
              </w:rPr>
              <w:t xml:space="preserve">   ↓</w:t>
            </w:r>
            <w:r>
              <w:br/>
            </w:r>
            <w:r>
              <w:rPr>
                <w:rFonts w:ascii="Liberation Mono" w:hAnsi="Liberation Mono"/>
                <w:color w:val="222222"/>
                <w:sz w:val="17"/>
              </w:rPr>
              <w:t>Persistir release</w:t>
            </w:r>
            <w:r>
              <w:br/>
            </w:r>
            <w:r>
              <w:rPr>
                <w:rFonts w:ascii="Liberation Mono" w:hAnsi="Liberation Mono"/>
                <w:color w:val="222222"/>
                <w:sz w:val="17"/>
              </w:rPr>
              <w:t xml:space="preserve">   ↓</w:t>
            </w:r>
            <w:r>
              <w:br/>
            </w:r>
            <w:r>
              <w:rPr>
                <w:rFonts w:ascii="Liberation Mono" w:hAnsi="Liberation Mono"/>
                <w:color w:val="222222"/>
                <w:sz w:val="17"/>
              </w:rPr>
              <w:t>Verificar persistencia</w:t>
            </w:r>
            <w:r>
              <w:br/>
            </w:r>
            <w:r>
              <w:rPr>
                <w:rFonts w:ascii="Liberation Mono" w:hAnsi="Liberation Mono"/>
                <w:color w:val="222222"/>
                <w:sz w:val="17"/>
              </w:rPr>
              <w:t xml:space="preserve">   ↓</w:t>
            </w:r>
            <w:r>
              <w:br/>
            </w:r>
            <w:r>
              <w:rPr>
                <w:rFonts w:ascii="Liberation Mono" w:hAnsi="Liberation Mono"/>
                <w:color w:val="222222"/>
                <w:sz w:val="17"/>
              </w:rPr>
              <w:t>Promover como current</w:t>
            </w:r>
            <w:r>
              <w:br/>
            </w:r>
            <w:r>
              <w:rPr>
                <w:rFonts w:ascii="Liberation Mono" w:hAnsi="Liberation Mono"/>
                <w:color w:val="222222"/>
                <w:sz w:val="17"/>
              </w:rPr>
              <w:t xml:space="preserve">   ↓</w:t>
            </w:r>
            <w:r>
              <w:br/>
            </w:r>
            <w:r>
              <w:rPr>
                <w:rFonts w:ascii="Liberation Mono" w:hAnsi="Liberation Mono"/>
                <w:color w:val="222222"/>
                <w:sz w:val="17"/>
              </w:rPr>
              <w:t>Proyectar release específico</w:t>
            </w:r>
            <w:r>
              <w:br/>
            </w:r>
            <w:r>
              <w:rPr>
                <w:rFonts w:ascii="Liberation Mono" w:hAnsi="Liberation Mono"/>
                <w:color w:val="222222"/>
                <w:sz w:val="17"/>
              </w:rPr>
              <w:t xml:space="preserve">   ↓</w:t>
            </w:r>
            <w:r>
              <w:br/>
            </w:r>
            <w:r>
              <w:rPr>
                <w:rFonts w:ascii="Liberation Mono" w:hAnsi="Liberation Mono"/>
                <w:color w:val="222222"/>
                <w:sz w:val="17"/>
              </w:rPr>
              <w:t>Cosmos DB | Local</w:t>
            </w:r>
          </w:p>
        </w:tc>
      </w:tr>
    </w:tbl>
    <w:p>
      <w:pPr>
        <w:widowControl/>
      </w:pPr>
      <w:r>
        <w:br w:type="page"/>
      </w:r>
    </w:p>
    <w:p>
      <w:pPr>
        <w:pStyle w:val="Heading1"/>
        <w:widowControl/>
      </w:pPr>
      <w:r>
        <w:t>5. Snapshot completo y manifest</w:t>
      </w:r>
    </w:p>
    <w:p>
      <w:pPr>
        <w:widowControl/>
      </w:pPr>
      <w:r>
        <w:t>Cada versión debe poder reconstruir por sí sola el estado publicado sin depender de versiones anteriores. Esto prioriza simplicidad operacional, recuperación y auditabilidad por sobre ahorrar un volumen marginal de almacenamiento.</w:t>
      </w:r>
    </w:p>
    <w:p>
      <w:pPr>
        <w:widowControl/>
      </w:pPr>
      <w:r>
        <w:t>El manifest actual se mantiene como concepto y deberá evolucionar sólo si el contrato lo requiere. Como mínimo, el diseño debe poder representar:</w:t>
      </w:r>
    </w:p>
    <w:p>
      <w:pPr>
        <w:pStyle w:val="ListBullet"/>
        <w:spacing w:after="50"/>
        <w:ind w:left="360" w:hanging="173"/>
        <w:widowControl/>
      </w:pPr>
      <w:r>
        <w:rPr>
          <w:rFonts w:ascii="Aptos" w:hAnsi="Aptos"/>
          <w:sz w:val="20"/>
        </w:rPr>
        <w:t>version / release_id</w:t>
      </w:r>
    </w:p>
    <w:p>
      <w:pPr>
        <w:pStyle w:val="ListBullet"/>
        <w:spacing w:after="50"/>
        <w:ind w:left="360" w:hanging="173"/>
        <w:widowControl/>
      </w:pPr>
      <w:r>
        <w:rPr>
          <w:rFonts w:ascii="Aptos" w:hAnsi="Aptos"/>
          <w:sz w:val="20"/>
        </w:rPr>
        <w:t>created_at</w:t>
      </w:r>
    </w:p>
    <w:p>
      <w:pPr>
        <w:pStyle w:val="ListBullet"/>
        <w:spacing w:after="50"/>
        <w:ind w:left="360" w:hanging="173"/>
        <w:widowControl/>
      </w:pPr>
      <w:r>
        <w:rPr>
          <w:rFonts w:ascii="Aptos" w:hAnsi="Aptos"/>
          <w:sz w:val="20"/>
        </w:rPr>
        <w:t>created_by</w:t>
      </w:r>
    </w:p>
    <w:p>
      <w:pPr>
        <w:pStyle w:val="ListBullet"/>
        <w:spacing w:after="50"/>
        <w:ind w:left="360" w:hanging="173"/>
        <w:widowControl/>
      </w:pPr>
      <w:r>
        <w:rPr>
          <w:rFonts w:ascii="Aptos" w:hAnsi="Aptos"/>
          <w:sz w:val="20"/>
        </w:rPr>
        <w:t>schema_version</w:t>
      </w:r>
    </w:p>
    <w:p>
      <w:pPr>
        <w:pStyle w:val="ListBullet"/>
        <w:spacing w:after="50"/>
        <w:ind w:left="360" w:hanging="173"/>
        <w:widowControl/>
      </w:pPr>
      <w:r>
        <w:rPr>
          <w:rFonts w:ascii="Aptos" w:hAnsi="Aptos"/>
          <w:sz w:val="20"/>
        </w:rPr>
        <w:t>content_hash</w:t>
      </w:r>
    </w:p>
    <w:p>
      <w:pPr>
        <w:pStyle w:val="ListBullet"/>
        <w:spacing w:after="50"/>
        <w:ind w:left="360" w:hanging="173"/>
        <w:widowControl/>
      </w:pPr>
      <w:r>
        <w:rPr>
          <w:rFonts w:ascii="Aptos" w:hAnsi="Aptos"/>
          <w:sz w:val="20"/>
        </w:rPr>
        <w:t>inventario y/o hashes de recursos incluidos</w:t>
      </w:r>
    </w:p>
    <w:p>
      <w:pPr>
        <w:pStyle w:val="ListBullet"/>
        <w:spacing w:after="50"/>
        <w:ind w:left="360" w:hanging="173"/>
        <w:widowControl/>
      </w:pPr>
      <w:r>
        <w:rPr>
          <w:rFonts w:ascii="Aptos" w:hAnsi="Aptos"/>
          <w:sz w:val="20"/>
        </w:rPr>
        <w:t>base_version</w:t>
      </w:r>
    </w:p>
    <w:p>
      <w:pPr>
        <w:pStyle w:val="ListBullet"/>
        <w:spacing w:after="50"/>
        <w:ind w:left="360" w:hanging="173"/>
        <w:widowControl/>
      </w:pPr>
      <w:r>
        <w:rPr>
          <w:rFonts w:ascii="Aptos" w:hAnsi="Aptos"/>
          <w:sz w:val="20"/>
        </w:rPr>
        <w:t>previous_current_version</w:t>
      </w:r>
    </w:p>
    <w:p>
      <w:pPr>
        <w:widowControl/>
      </w:pPr>
      <w:r>
        <w:t>Los dos últimos campos permiten distinguir el origen del contenido de la secuencia cronológica. En una publicación normal ambos pueden coincidir; en una recuperación histórica pueden divergir.</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Caso normal</w:t>
            </w:r>
            <w:r>
              <w:br/>
            </w:r>
            <w:r>
              <w:rPr>
                <w:rFonts w:ascii="Liberation Mono" w:hAnsi="Liberation Mono"/>
                <w:color w:val="222222"/>
                <w:sz w:val="17"/>
              </w:rPr>
              <w:t>V3.base_version             = V2</w:t>
            </w:r>
            <w:r>
              <w:br/>
            </w:r>
            <w:r>
              <w:rPr>
                <w:rFonts w:ascii="Liberation Mono" w:hAnsi="Liberation Mono"/>
                <w:color w:val="222222"/>
                <w:sz w:val="17"/>
              </w:rPr>
              <w:t>V3.previous_current_version = V2</w:t>
            </w:r>
            <w:r>
              <w:br/>
            </w:r>
            <w:r>
              <w:rPr>
                <w:rFonts w:ascii="Liberation Mono" w:hAnsi="Liberation Mono"/>
                <w:color w:val="222222"/>
                <w:sz w:val="17"/>
              </w:rPr>
            </w:r>
            <w:r>
              <w:br/>
            </w:r>
            <w:r>
              <w:rPr>
                <w:rFonts w:ascii="Liberation Mono" w:hAnsi="Liberation Mono"/>
                <w:color w:val="222222"/>
                <w:sz w:val="17"/>
              </w:rPr>
              <w:t>Recuperación de un estado anterior</w:t>
            </w:r>
            <w:r>
              <w:br/>
            </w:r>
            <w:r>
              <w:rPr>
                <w:rFonts w:ascii="Liberation Mono" w:hAnsi="Liberation Mono"/>
                <w:color w:val="222222"/>
                <w:sz w:val="17"/>
              </w:rPr>
              <w:t>V5.base_version             = V2</w:t>
            </w:r>
            <w:r>
              <w:br/>
            </w:r>
            <w:r>
              <w:rPr>
                <w:rFonts w:ascii="Liberation Mono" w:hAnsi="Liberation Mono"/>
                <w:color w:val="222222"/>
                <w:sz w:val="17"/>
              </w:rPr>
              <w:t>V5.previous_current_version = V4</w:t>
            </w:r>
          </w:p>
        </w:tc>
      </w:tr>
    </w:tbl>
    <w:p>
      <w:pPr>
        <w:pStyle w:val="Heading1"/>
        <w:widowControl/>
      </w:pPr>
      <w:r>
        <w:t>6. Evitar versiones sin cambios</w:t>
      </w:r>
    </w:p>
    <w:p>
      <w:pPr>
        <w:widowControl/>
      </w:pPr>
      <w:r>
        <w:t>Si el contenido del workspace es equivalente al current, no debería crearse una versión nueva sólo por ejecutar la acción de guardado. La comparación puede apoyarse en el hash global del manifest.</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hash(workspace) == hash(current)</w:t>
            </w:r>
            <w:r>
              <w:br/>
            </w:r>
            <w:r>
              <w:rPr>
                <w:rFonts w:ascii="Liberation Mono" w:hAnsi="Liberation Mono"/>
                <w:color w:val="222222"/>
                <w:sz w:val="17"/>
              </w:rPr>
              <w:t>→ no crear nueva versión</w:t>
            </w:r>
            <w:r>
              <w:br/>
            </w:r>
            <w:r>
              <w:rPr>
                <w:rFonts w:ascii="Liberation Mono" w:hAnsi="Liberation Mono"/>
                <w:color w:val="222222"/>
                <w:sz w:val="17"/>
              </w:rPr>
            </w:r>
            <w:r>
              <w:br/>
            </w:r>
            <w:r>
              <w:rPr>
                <w:rFonts w:ascii="Liberation Mono" w:hAnsi="Liberation Mono"/>
                <w:color w:val="222222"/>
                <w:sz w:val="17"/>
              </w:rPr>
              <w:t>hash(workspace) != hash(current)</w:t>
            </w:r>
            <w:r>
              <w:br/>
            </w:r>
            <w:r>
              <w:rPr>
                <w:rFonts w:ascii="Liberation Mono" w:hAnsi="Liberation Mono"/>
                <w:color w:val="222222"/>
                <w:sz w:val="17"/>
              </w:rPr>
              <w:t>→ crear nueva versión</w:t>
            </w:r>
          </w:p>
        </w:tc>
      </w:tr>
    </w:tbl>
    <w:p>
      <w:pPr>
        <w:widowControl/>
      </w:pPr>
      <w:r>
        <w:t>La excepción aparente de recuperar V1 no es una excepción real: aunque el contenido sea idéntico a una versión histórica, si difiere del current se genera una versión nueva porque existe un nuevo acto de publicación.</w:t>
      </w:r>
    </w:p>
    <w:p>
      <w:pPr>
        <w:widowControl/>
      </w:pPr>
      <w:r>
        <w:br w:type="page"/>
      </w:r>
    </w:p>
    <w:p>
      <w:pPr>
        <w:pStyle w:val="Heading1"/>
        <w:widowControl/>
      </w:pPr>
      <w:r>
        <w:t>7. Concurrencia y trabajo simultáneo</w:t>
      </w:r>
    </w:p>
    <w:p>
      <w:pPr>
        <w:widowControl/>
      </w:pPr>
      <w:r>
        <w:t>El Manager ya detecta conceptualmente cuando la versión cargada dejó de ser la versión vigente. Este comportamiento debe conservarse y evolucionar hacia una comparación más informativa, sin delegar la seguridad exclusivamente al frontend.</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BASE       = V17     (lo que cargó el usuario)</w:t>
            </w:r>
            <w:r>
              <w:br/>
            </w:r>
            <w:r>
              <w:rPr>
                <w:rFonts w:ascii="Liberation Mono" w:hAnsi="Liberation Mono"/>
                <w:color w:val="222222"/>
                <w:sz w:val="17"/>
              </w:rPr>
              <w:t>SOURCE     = V18     (lo que actualmente está publicado)</w:t>
            </w:r>
            <w:r>
              <w:br/>
            </w:r>
            <w:r>
              <w:rPr>
                <w:rFonts w:ascii="Liberation Mono" w:hAnsi="Liberation Mono"/>
                <w:color w:val="222222"/>
                <w:sz w:val="17"/>
              </w:rPr>
              <w:t>WORKSPACE  = V17 + cambios locales</w:t>
            </w:r>
          </w:p>
        </w:tc>
      </w:tr>
    </w:tbl>
    <w:p>
      <w:pPr>
        <w:widowControl/>
      </w:pPr>
      <w:r>
        <w:t>Ante esta situación, el frontend puede ofrecer una decisión asistida: revisar qué cambió, adoptar la versión actual o continuar con el trabajo propio. Si finalmente se publica el workspace propio, se crea una versión nueva; no se sobrescribe V18.</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V17  base del usuario</w:t>
            </w:r>
            <w:r>
              <w:br/>
            </w:r>
            <w:r>
              <w:rPr>
                <w:rFonts w:ascii="Liberation Mono" w:hAnsi="Liberation Mono"/>
                <w:color w:val="222222"/>
                <w:sz w:val="17"/>
              </w:rPr>
              <w:t>V18  publicación concurrente</w:t>
            </w:r>
            <w:r>
              <w:br/>
            </w:r>
            <w:r>
              <w:rPr>
                <w:rFonts w:ascii="Liberation Mono" w:hAnsi="Liberation Mono"/>
                <w:color w:val="222222"/>
                <w:sz w:val="17"/>
              </w:rPr>
              <w:t>V19  nueva publicación del workspace propio</w:t>
            </w:r>
            <w:r>
              <w:br/>
            </w:r>
            <w:r>
              <w:rPr>
                <w:rFonts w:ascii="Liberation Mono" w:hAnsi="Liberation Mono"/>
                <w:color w:val="222222"/>
                <w:sz w:val="17"/>
              </w:rPr>
            </w:r>
            <w:r>
              <w:br/>
            </w:r>
            <w:r>
              <w:rPr>
                <w:rFonts w:ascii="Liberation Mono" w:hAnsi="Liberation Mono"/>
                <w:color w:val="222222"/>
                <w:sz w:val="17"/>
              </w:rPr>
              <w:t>Current → V19</w:t>
            </w:r>
          </w:p>
        </w:tc>
      </w:tr>
    </w:tbl>
    <w:p>
      <w:pPr>
        <w:pStyle w:val="Heading1"/>
        <w:widowControl/>
      </w:pPr>
      <w:r>
        <w:t>8. Comparación de versiones</w:t>
      </w:r>
    </w:p>
    <w:p>
      <w:pPr>
        <w:widowControl/>
      </w:pPr>
      <w:r>
        <w:t>La capacidad existente de inspeccionar el contenido de un backup/version almacenada debe convertirse en una fortaleza central del Manager. La comparación más útil no es solamente current versus histórico, sino una comparación de tres estados cuando existe concurrencia.</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 xml:space="preserve">                BASE (V17)</w:t>
            </w:r>
            <w:r>
              <w:br/>
            </w:r>
            <w:r>
              <w:rPr>
                <w:rFonts w:ascii="Liberation Mono" w:hAnsi="Liberation Mono"/>
                <w:color w:val="222222"/>
                <w:sz w:val="17"/>
              </w:rPr>
              <w:t xml:space="preserve">                /        \</w:t>
            </w:r>
            <w:r>
              <w:br/>
            </w:r>
            <w:r>
              <w:rPr>
                <w:rFonts w:ascii="Liberation Mono" w:hAnsi="Liberation Mono"/>
                <w:color w:val="222222"/>
                <w:sz w:val="17"/>
              </w:rPr>
              <w:t xml:space="preserve">               /          \</w:t>
            </w:r>
            <w:r>
              <w:br/>
            </w:r>
            <w:r>
              <w:rPr>
                <w:rFonts w:ascii="Liberation Mono" w:hAnsi="Liberation Mono"/>
                <w:color w:val="222222"/>
                <w:sz w:val="17"/>
              </w:rPr>
              <w:t xml:space="preserve">              ▼            ▼</w:t>
            </w:r>
            <w:r>
              <w:br/>
            </w:r>
            <w:r>
              <w:rPr>
                <w:rFonts w:ascii="Liberation Mono" w:hAnsi="Liberation Mono"/>
                <w:color w:val="222222"/>
                <w:sz w:val="17"/>
              </w:rPr>
              <w:t xml:space="preserve">      SOURCE (V18)      WORKSPACE</w:t>
            </w:r>
            <w:r>
              <w:br/>
            </w:r>
            <w:r>
              <w:rPr>
                <w:rFonts w:ascii="Liberation Mono" w:hAnsi="Liberation Mono"/>
                <w:color w:val="222222"/>
                <w:sz w:val="17"/>
              </w:rPr>
              <w:t xml:space="preserve">      cambios ajenos    cambios propios</w:t>
            </w:r>
            <w:r>
              <w:br/>
            </w:r>
            <w:r>
              <w:rPr>
                <w:rFonts w:ascii="Liberation Mono" w:hAnsi="Liberation Mono"/>
                <w:color w:val="222222"/>
                <w:sz w:val="17"/>
              </w:rPr>
            </w:r>
            <w:r>
              <w:br/>
            </w:r>
            <w:r>
              <w:rPr>
                <w:rFonts w:ascii="Liberation Mono" w:hAnsi="Liberation Mono"/>
                <w:color w:val="222222"/>
                <w:sz w:val="17"/>
              </w:rPr>
              <w:t>A → B  qué cambió otra persona</w:t>
            </w:r>
            <w:r>
              <w:br/>
            </w:r>
            <w:r>
              <w:rPr>
                <w:rFonts w:ascii="Liberation Mono" w:hAnsi="Liberation Mono"/>
                <w:color w:val="222222"/>
                <w:sz w:val="17"/>
              </w:rPr>
              <w:t>A → C  qué cambió el usuario</w:t>
            </w:r>
            <w:r>
              <w:br/>
            </w:r>
            <w:r>
              <w:rPr>
                <w:rFonts w:ascii="Liberation Mono" w:hAnsi="Liberation Mono"/>
                <w:color w:val="222222"/>
                <w:sz w:val="17"/>
              </w:rPr>
              <w:t>B → C  diferencia final respecto del current</w:t>
            </w:r>
          </w:p>
        </w:tc>
      </w:tr>
    </w:tbl>
    <w:p>
      <w:pPr>
        <w:widowControl/>
      </w:pPr>
      <w:r>
        <w:t>El objetivo inicial no es resolver automáticamente conflictos. El Manager debe detectar, explicar y permitir inspeccionar. La decisión permanece humana hasta que exista una semántica de merge suficientemente definida por dominio.</w:t>
      </w:r>
    </w:p>
    <w:tbl>
      <w:tblPr>
        <w:tblW w:type="auto" w:w="0"/>
        <w:jc w:val="center"/>
        <w:tblLayout w:type="autofit"/>
        <w:tblLook w:firstColumn="1" w:firstRow="1" w:lastColumn="0" w:lastRow="0" w:noHBand="0" w:noVBand="1" w:val="04A0"/>
      </w:tblPr>
      <w:tblGrid>
        <w:gridCol w:w="9994"/>
      </w:tblGrid>
      <w:tr>
        <w:trPr>
          <w:cantSplit/>
        </w:trPr>
        <w:tc>
          <w:tcPr>
            <w:tcW w:type="dxa" w:w="9994"/>
            <w:shd w:fill="FFF8E8"/>
            <w:tcMar>
              <w:top w:w="130" w:type="dxa"/>
              <w:start w:w="150" w:type="dxa"/>
              <w:bottom w:w="130" w:type="dxa"/>
              <w:end w:w="150" w:type="dxa"/>
            </w:tcMar>
            <w:tcBorders>
              <w:top w:val="single" w:sz="8" w:color="B18A45"/>
              <w:left w:val="single" w:sz="8" w:color="B18A45"/>
              <w:bottom w:val="single" w:sz="8" w:color="B18A45"/>
              <w:right w:val="single" w:sz="8" w:color="B18A45"/>
            </w:tcBorders>
          </w:tcPr>
          <w:p>
            <w:pPr>
              <w:spacing w:after="60"/>
            </w:pPr>
            <w:r>
              <w:rPr>
                <w:b/>
                <w:color w:val="17324D"/>
                <w:sz w:val="20"/>
              </w:rPr>
              <w:t>Límite de alcance</w:t>
            </w:r>
          </w:p>
          <w:p>
            <w:pPr>
              <w:spacing w:after="0"/>
            </w:pPr>
            <w:r>
              <w:rPr>
                <w:sz w:val="20"/>
              </w:rPr>
              <w:t>No se propone merge automático en este upgrade. Dos cambios sintácticamente independientes pueden ser funcionalmente incompatibles; automatizar su combinación sería introducir una regla de negocio no acordada.</w:t>
            </w:r>
          </w:p>
        </w:tc>
      </w:tr>
    </w:tbl>
    <w:p>
      <w:pPr>
        <w:widowControl/>
      </w:pPr>
      <w:r>
        <w:br w:type="page"/>
      </w:r>
    </w:p>
    <w:p>
      <w:pPr>
        <w:pStyle w:val="Heading1"/>
        <w:widowControl/>
      </w:pPr>
      <w:r>
        <w:t>9. Garantía backend de concurrencia</w:t>
      </w:r>
    </w:p>
    <w:p>
      <w:pPr>
        <w:widowControl/>
      </w:pPr>
      <w:r>
        <w:t>La verificación del frontend mejora la experiencia, pero existe una ventana entre “verificar Source” y “guardar”. Por ello el backend deberá aplicar una condición autoritativa de concurrencia al momento de promover la nueva versión. En Azure Blob Storage, ETag / conditional writes es un mecanismo natural para esta protección.</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Frontend:  detección + explicación + decisión</w:t>
            </w:r>
            <w:r>
              <w:br/>
            </w:r>
            <w:r>
              <w:rPr>
                <w:rFonts w:ascii="Liberation Mono" w:hAnsi="Liberation Mono"/>
                <w:color w:val="222222"/>
                <w:sz w:val="17"/>
              </w:rPr>
              <w:t>Backend:   condición autoritativa de escritura/promoción</w:t>
            </w:r>
            <w:r>
              <w:br/>
            </w:r>
            <w:r>
              <w:rPr>
                <w:rFonts w:ascii="Liberation Mono" w:hAnsi="Liberation Mono"/>
                <w:color w:val="222222"/>
                <w:sz w:val="17"/>
              </w:rPr>
            </w:r>
            <w:r>
              <w:br/>
            </w:r>
            <w:r>
              <w:rPr>
                <w:rFonts w:ascii="Liberation Mono" w:hAnsi="Liberation Mono"/>
                <w:color w:val="222222"/>
                <w:sz w:val="17"/>
              </w:rPr>
              <w:t>Resultado: buena UX + ausencia de overwrite silencioso</w:t>
            </w:r>
          </w:p>
        </w:tc>
      </w:tr>
    </w:tbl>
    <w:p>
      <w:pPr>
        <w:pStyle w:val="Heading1"/>
        <w:widowControl/>
      </w:pPr>
      <w:r>
        <w:t>10. Relación Source → Projection</w:t>
      </w:r>
    </w:p>
    <w:p>
      <w:pPr>
        <w:widowControl/>
      </w:pPr>
      <w:r>
        <w:t>La proyección debe ejecutarse contra una versión específica, nunca contra un concepto ambiguo de “latest” que pueda cambiar durante el proceso. La Projection Store debe poder identificar qué release de Source representa.</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Source current      = V48</w:t>
            </w:r>
            <w:r>
              <w:br/>
            </w:r>
            <w:r>
              <w:rPr>
                <w:rFonts w:ascii="Liberation Mono" w:hAnsi="Liberation Mono"/>
                <w:color w:val="222222"/>
                <w:sz w:val="17"/>
              </w:rPr>
              <w:t>Cosmos projected    = V47</w:t>
            </w:r>
            <w:r>
              <w:br/>
            </w:r>
            <w:r>
              <w:rPr>
                <w:rFonts w:ascii="Liberation Mono" w:hAnsi="Liberation Mono"/>
                <w:color w:val="222222"/>
                <w:sz w:val="17"/>
              </w:rPr>
            </w:r>
            <w:r>
              <w:br/>
            </w:r>
            <w:r>
              <w:rPr>
                <w:rFonts w:ascii="Liberation Mono" w:hAnsi="Liberation Mono"/>
                <w:color w:val="222222"/>
                <w:sz w:val="17"/>
              </w:rPr>
              <w:t>Estado observable:</w:t>
            </w:r>
            <w:r>
              <w:br/>
            </w:r>
            <w:r>
              <w:rPr>
                <w:rFonts w:ascii="Liberation Mono" w:hAnsi="Liberation Mono"/>
                <w:color w:val="222222"/>
                <w:sz w:val="17"/>
              </w:rPr>
              <w:t>SOURCE AHEAD OF PROJECTION</w:t>
            </w:r>
            <w:r>
              <w:br/>
            </w:r>
            <w:r>
              <w:rPr>
                <w:rFonts w:ascii="Liberation Mono" w:hAnsi="Liberation Mono"/>
                <w:color w:val="222222"/>
                <w:sz w:val="17"/>
              </w:rPr>
            </w:r>
            <w:r>
              <w:br/>
            </w:r>
            <w:r>
              <w:rPr>
                <w:rFonts w:ascii="Liberation Mono" w:hAnsi="Liberation Mono"/>
                <w:color w:val="222222"/>
                <w:sz w:val="17"/>
              </w:rPr>
              <w:t>Acción:</w:t>
            </w:r>
            <w:r>
              <w:br/>
            </w:r>
            <w:r>
              <w:rPr>
                <w:rFonts w:ascii="Liberation Mono" w:hAnsi="Liberation Mono"/>
                <w:color w:val="222222"/>
                <w:sz w:val="17"/>
              </w:rPr>
              <w:t>Project(V48)</w:t>
            </w:r>
          </w:p>
        </w:tc>
      </w:tr>
    </w:tbl>
    <w:p>
      <w:pPr>
        <w:widowControl/>
      </w:pPr>
      <w:r>
        <w:t>Si la proyección falla, la versión Source permanece intacta y puede reintentarse. No es necesario borrar, recrear ni degradar el historial.</w:t>
      </w:r>
    </w:p>
    <w:p>
      <w:pPr>
        <w:pStyle w:val="Heading1"/>
        <w:widowControl/>
      </w:pPr>
      <w:r>
        <w:t>11. Equivalencia Local / Blob</w:t>
      </w:r>
    </w:p>
    <w:p>
      <w:pPr>
        <w:widowControl/>
      </w:pPr>
      <w:r>
        <w:t>Local y Azure Blob Storage deben ofrecer la misma semántica al resto del sistema. La implementación física puede variar, pero Atlanticus no debe tener dos modelos de Source distintos.</w:t>
      </w:r>
    </w:p>
    <w:tbl>
      <w:tblPr>
        <w:tblW w:type="auto" w:w="0"/>
        <w:jc w:val="center"/>
        <w:tblLook w:firstColumn="1" w:firstRow="1" w:lastColumn="0" w:lastRow="0" w:noHBand="0" w:noVBand="1" w:val="04A0"/>
      </w:tblPr>
      <w:tblGrid>
        <w:gridCol w:w="9994"/>
      </w:tblGrid>
      <w:tr>
        <w:trPr>
          <w:cantSplit/>
        </w:trPr>
        <w:tc>
          <w:tcPr>
            <w:tcW w:type="dxa" w:w="9994"/>
            <w:shd w:fill="F7F8F9"/>
            <w:tcMar>
              <w:top w:w="110" w:type="dxa"/>
              <w:start w:w="140" w:type="dxa"/>
              <w:bottom w:w="110" w:type="dxa"/>
              <w:end w:w="140" w:type="dxa"/>
            </w:tcMar>
          </w:tcPr>
          <w:p>
            <w:pPr>
              <w:spacing w:after="0"/>
            </w:pPr>
            <w:r>
              <w:rPr>
                <w:rFonts w:ascii="Liberation Mono" w:hAnsi="Liberation Mono"/>
                <w:color w:val="222222"/>
                <w:sz w:val="17"/>
              </w:rPr>
              <w:t>SourceStore</w:t>
            </w:r>
            <w:r>
              <w:br/>
            </w:r>
            <w:r>
              <w:rPr>
                <w:rFonts w:ascii="Liberation Mono" w:hAnsi="Liberation Mono"/>
                <w:color w:val="222222"/>
                <w:sz w:val="17"/>
              </w:rPr>
              <w:t xml:space="preserve">   ├── Local</w:t>
            </w:r>
            <w:r>
              <w:br/>
            </w:r>
            <w:r>
              <w:rPr>
                <w:rFonts w:ascii="Liberation Mono" w:hAnsi="Liberation Mono"/>
                <w:color w:val="222222"/>
                <w:sz w:val="17"/>
              </w:rPr>
              <w:t xml:space="preserve">   └── Azure Blob Storage</w:t>
            </w:r>
            <w:r>
              <w:br/>
            </w:r>
            <w:r>
              <w:rPr>
                <w:rFonts w:ascii="Liberation Mono" w:hAnsi="Liberation Mono"/>
                <w:color w:val="222222"/>
                <w:sz w:val="17"/>
              </w:rPr>
            </w:r>
            <w:r>
              <w:br/>
            </w:r>
            <w:r>
              <w:rPr>
                <w:rFonts w:ascii="Liberation Mono" w:hAnsi="Liberation Mono"/>
                <w:color w:val="222222"/>
                <w:sz w:val="17"/>
              </w:rPr>
              <w:t>Semántica común:</w:t>
            </w:r>
            <w:r>
              <w:br/>
            </w:r>
            <w:r>
              <w:rPr>
                <w:rFonts w:ascii="Liberation Mono" w:hAnsi="Liberation Mono"/>
                <w:color w:val="222222"/>
                <w:sz w:val="17"/>
              </w:rPr>
              <w:t>- crear release</w:t>
            </w:r>
            <w:r>
              <w:br/>
            </w:r>
            <w:r>
              <w:rPr>
                <w:rFonts w:ascii="Liberation Mono" w:hAnsi="Liberation Mono"/>
                <w:color w:val="222222"/>
                <w:sz w:val="17"/>
              </w:rPr>
              <w:t>- obtener release</w:t>
            </w:r>
            <w:r>
              <w:br/>
            </w:r>
            <w:r>
              <w:rPr>
                <w:rFonts w:ascii="Liberation Mono" w:hAnsi="Liberation Mono"/>
                <w:color w:val="222222"/>
                <w:sz w:val="17"/>
              </w:rPr>
              <w:t>- listar historial</w:t>
            </w:r>
            <w:r>
              <w:br/>
            </w:r>
            <w:r>
              <w:rPr>
                <w:rFonts w:ascii="Liberation Mono" w:hAnsi="Liberation Mono"/>
                <w:color w:val="222222"/>
                <w:sz w:val="17"/>
              </w:rPr>
              <w:t>- obtener current</w:t>
            </w:r>
            <w:r>
              <w:br/>
            </w:r>
            <w:r>
              <w:rPr>
                <w:rFonts w:ascii="Liberation Mono" w:hAnsi="Liberation Mono"/>
                <w:color w:val="222222"/>
                <w:sz w:val="17"/>
              </w:rPr>
              <w:t>- promover release</w:t>
            </w:r>
            <w:r>
              <w:br/>
            </w:r>
            <w:r>
              <w:rPr>
                <w:rFonts w:ascii="Liberation Mono" w:hAnsi="Liberation Mono"/>
                <w:color w:val="222222"/>
                <w:sz w:val="17"/>
              </w:rPr>
              <w:t>- verificar integridad</w:t>
            </w:r>
          </w:p>
        </w:tc>
      </w:tr>
    </w:tbl>
    <w:p>
      <w:pPr>
        <w:widowControl/>
      </w:pPr>
      <w:r>
        <w:t>Los nombres exactos de contrato no quedan congelados en este documento; deberán definirse durante la etapa de diseño contractual antes de implementar.</w:t>
      </w:r>
    </w:p>
    <w:p>
      <w:pPr>
        <w:widowControl/>
      </w:pPr>
      <w:r>
        <w:br w:type="page"/>
      </w:r>
    </w:p>
    <w:p>
      <w:pPr>
        <w:pStyle w:val="Heading1"/>
        <w:widowControl/>
      </w:pPr>
      <w:r>
        <w:t>12. Uso de capacidades nativas de Azure</w:t>
      </w:r>
    </w:p>
    <w:p>
      <w:pPr>
        <w:widowControl/>
      </w:pPr>
      <w:r>
        <w:t>El upgrade debe aprovechar capacidades de Blob que reduzcan riesgo y complejidad, pero sin convertir la solución en dependiente de funcionalidades que no necesitamos.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vAlign w:val="center"/>
            <w:tcMar>
              <w:top w:w="90" w:type="dxa"/>
              <w:start w:w="110" w:type="dxa"/>
              <w:bottom w:w="90" w:type="dxa"/>
              <w:end w:w="110" w:type="dxa"/>
            </w:tcMar>
          </w:tcPr>
          <w:p>
            <w:pPr>
              <w:spacing w:after="0"/>
            </w:pPr>
            <w:r>
              <w:rPr>
                <w:rFonts w:ascii="Aptos" w:hAnsi="Aptos"/>
                <w:b/>
                <w:color w:val="FFFFFF"/>
                <w:sz w:val="18"/>
              </w:rPr>
              <w:t>Capacidad</w:t>
            </w:r>
          </w:p>
        </w:tc>
        <w:tc>
          <w:tcPr>
            <w:tcW w:type="dxa" w:w="3331"/>
            <w:shd w:fill="17324D"/>
            <w:vAlign w:val="center"/>
            <w:tcMar>
              <w:top w:w="90" w:type="dxa"/>
              <w:start w:w="110" w:type="dxa"/>
              <w:bottom w:w="90" w:type="dxa"/>
              <w:end w:w="110" w:type="dxa"/>
            </w:tcMar>
          </w:tcPr>
          <w:p>
            <w:pPr>
              <w:spacing w:after="0"/>
            </w:pPr>
            <w:r>
              <w:rPr>
                <w:rFonts w:ascii="Aptos" w:hAnsi="Aptos"/>
                <w:b/>
                <w:color w:val="FFFFFF"/>
                <w:sz w:val="18"/>
              </w:rPr>
              <w:t>Decisión inicial</w:t>
            </w:r>
          </w:p>
        </w:tc>
        <w:tc>
          <w:tcPr>
            <w:tcW w:type="dxa" w:w="3331"/>
            <w:shd w:fill="17324D"/>
            <w:vAlign w:val="center"/>
            <w:tcMar>
              <w:top w:w="90" w:type="dxa"/>
              <w:start w:w="110" w:type="dxa"/>
              <w:bottom w:w="90" w:type="dxa"/>
              <w:end w:w="110" w:type="dxa"/>
            </w:tcMar>
          </w:tcPr>
          <w:p>
            <w:pPr>
              <w:spacing w:after="0"/>
            </w:pPr>
            <w:r>
              <w:rPr>
                <w:rFonts w:ascii="Aptos" w:hAnsi="Aptos"/>
                <w:b/>
                <w:color w:val="FFFFFF"/>
                <w:sz w:val="18"/>
              </w:rPr>
              <w:t>Motivo</w:t>
            </w:r>
          </w:p>
        </w:tc>
      </w:tr>
      <w:tr>
        <w:tc>
          <w:tcPr>
            <w:tcW w:type="dxa" w:w="3331"/>
            <w:shd w:fill="F8F9FA"/>
            <w:vAlign w:val="center"/>
            <w:tcMar>
              <w:top w:w="90" w:type="dxa"/>
              <w:start w:w="110" w:type="dxa"/>
              <w:bottom w:w="90" w:type="dxa"/>
              <w:end w:w="110" w:type="dxa"/>
            </w:tcMar>
          </w:tcPr>
          <w:p>
            <w:pPr>
              <w:spacing w:after="0"/>
            </w:pPr>
            <w:r>
              <w:rPr>
                <w:rFonts w:ascii="Aptos" w:hAnsi="Aptos"/>
                <w:b w:val="0"/>
                <w:color w:val="222222"/>
                <w:sz w:val="17"/>
              </w:rPr>
              <w:t>ETag / conditional writes</w:t>
            </w:r>
          </w:p>
        </w:tc>
        <w:tc>
          <w:tcPr>
            <w:tcW w:type="dxa" w:w="3331"/>
            <w:shd w:fill="F8F9FA"/>
            <w:vAlign w:val="center"/>
            <w:tcMar>
              <w:top w:w="90" w:type="dxa"/>
              <w:start w:w="110" w:type="dxa"/>
              <w:bottom w:w="90" w:type="dxa"/>
              <w:end w:w="110" w:type="dxa"/>
            </w:tcMar>
          </w:tcPr>
          <w:p>
            <w:pPr>
              <w:spacing w:after="0"/>
            </w:pPr>
            <w:r>
              <w:rPr>
                <w:rFonts w:ascii="Aptos" w:hAnsi="Aptos"/>
                <w:b/>
                <w:color w:val="222222"/>
                <w:sz w:val="17"/>
              </w:rPr>
              <w:t>Sí</w:t>
            </w:r>
          </w:p>
        </w:tc>
        <w:tc>
          <w:tcPr>
            <w:tcW w:type="dxa" w:w="3331"/>
            <w:shd w:fill="F8F9FA"/>
            <w:vAlign w:val="center"/>
            <w:tcMar>
              <w:top w:w="90" w:type="dxa"/>
              <w:start w:w="110" w:type="dxa"/>
              <w:bottom w:w="90" w:type="dxa"/>
              <w:end w:w="110" w:type="dxa"/>
            </w:tcMar>
          </w:tcPr>
          <w:p>
            <w:pPr>
              <w:spacing w:after="0"/>
            </w:pPr>
            <w:r>
              <w:rPr>
                <w:rFonts w:ascii="Aptos" w:hAnsi="Aptos"/>
                <w:b w:val="0"/>
                <w:color w:val="222222"/>
                <w:sz w:val="17"/>
              </w:rPr>
              <w:t>Control autoritativo de concurrencia.</w:t>
            </w:r>
          </w:p>
        </w:tc>
      </w:tr>
      <w:tr>
        <w:tc>
          <w:tcPr>
            <w:tcW w:type="dxa" w:w="3331"/>
            <w:shd w:fill="FFFFFF"/>
            <w:vAlign w:val="center"/>
            <w:tcMar>
              <w:top w:w="90" w:type="dxa"/>
              <w:start w:w="110" w:type="dxa"/>
              <w:bottom w:w="90" w:type="dxa"/>
              <w:end w:w="110" w:type="dxa"/>
            </w:tcMar>
          </w:tcPr>
          <w:p>
            <w:pPr>
              <w:spacing w:after="0"/>
            </w:pPr>
            <w:r>
              <w:rPr>
                <w:rFonts w:ascii="Aptos" w:hAnsi="Aptos"/>
                <w:b w:val="0"/>
                <w:color w:val="222222"/>
                <w:sz w:val="17"/>
              </w:rPr>
              <w:t>Microsoft Entra ID / Managed Identity</w:t>
            </w:r>
          </w:p>
        </w:tc>
        <w:tc>
          <w:tcPr>
            <w:tcW w:type="dxa" w:w="3331"/>
            <w:shd w:fill="FFFFFF"/>
            <w:vAlign w:val="center"/>
            <w:tcMar>
              <w:top w:w="90" w:type="dxa"/>
              <w:start w:w="110" w:type="dxa"/>
              <w:bottom w:w="90" w:type="dxa"/>
              <w:end w:w="110" w:type="dxa"/>
            </w:tcMar>
          </w:tcPr>
          <w:p>
            <w:pPr>
              <w:spacing w:after="0"/>
            </w:pPr>
            <w:r>
              <w:rPr>
                <w:rFonts w:ascii="Aptos" w:hAnsi="Aptos"/>
                <w:b/>
                <w:color w:val="222222"/>
                <w:sz w:val="17"/>
              </w:rPr>
              <w:t>Sí</w:t>
            </w:r>
          </w:p>
        </w:tc>
        <w:tc>
          <w:tcPr>
            <w:tcW w:type="dxa" w:w="3331"/>
            <w:shd w:fill="FFFFFF"/>
            <w:vAlign w:val="center"/>
            <w:tcMar>
              <w:top w:w="90" w:type="dxa"/>
              <w:start w:w="110" w:type="dxa"/>
              <w:bottom w:w="90" w:type="dxa"/>
              <w:end w:w="110" w:type="dxa"/>
            </w:tcMar>
          </w:tcPr>
          <w:p>
            <w:pPr>
              <w:spacing w:after="0"/>
            </w:pPr>
            <w:r>
              <w:rPr>
                <w:rFonts w:ascii="Aptos" w:hAnsi="Aptos"/>
                <w:b w:val="0"/>
                <w:color w:val="222222"/>
                <w:sz w:val="17"/>
              </w:rPr>
              <w:t>Autenticación productiva sin secretos embebidos.</w:t>
            </w:r>
          </w:p>
        </w:tc>
      </w:tr>
      <w:tr>
        <w:tc>
          <w:tcPr>
            <w:tcW w:type="dxa" w:w="3331"/>
            <w:shd w:fill="F8F9FA"/>
            <w:vAlign w:val="center"/>
            <w:tcMar>
              <w:top w:w="90" w:type="dxa"/>
              <w:start w:w="110" w:type="dxa"/>
              <w:bottom w:w="90" w:type="dxa"/>
              <w:end w:w="110" w:type="dxa"/>
            </w:tcMar>
          </w:tcPr>
          <w:p>
            <w:pPr>
              <w:spacing w:after="0"/>
            </w:pPr>
            <w:r>
              <w:rPr>
                <w:rFonts w:ascii="Aptos" w:hAnsi="Aptos"/>
                <w:b w:val="0"/>
                <w:color w:val="222222"/>
                <w:sz w:val="17"/>
              </w:rPr>
              <w:t>Blob Versioning</w:t>
            </w:r>
          </w:p>
        </w:tc>
        <w:tc>
          <w:tcPr>
            <w:tcW w:type="dxa" w:w="3331"/>
            <w:shd w:fill="F8F9FA"/>
            <w:vAlign w:val="center"/>
            <w:tcMar>
              <w:top w:w="90" w:type="dxa"/>
              <w:start w:w="110" w:type="dxa"/>
              <w:bottom w:w="90" w:type="dxa"/>
              <w:end w:w="110" w:type="dxa"/>
            </w:tcMar>
          </w:tcPr>
          <w:p>
            <w:pPr>
              <w:spacing w:after="0"/>
            </w:pPr>
            <w:r>
              <w:rPr>
                <w:rFonts w:ascii="Aptos" w:hAnsi="Aptos"/>
                <w:b/>
                <w:color w:val="222222"/>
                <w:sz w:val="17"/>
              </w:rPr>
              <w:t>No como historial</w:t>
            </w:r>
          </w:p>
        </w:tc>
        <w:tc>
          <w:tcPr>
            <w:tcW w:type="dxa" w:w="3331"/>
            <w:shd w:fill="F8F9FA"/>
            <w:vAlign w:val="center"/>
            <w:tcMar>
              <w:top w:w="90" w:type="dxa"/>
              <w:start w:w="110" w:type="dxa"/>
              <w:bottom w:w="90" w:type="dxa"/>
              <w:end w:w="110" w:type="dxa"/>
            </w:tcMar>
          </w:tcPr>
          <w:p>
            <w:pPr>
              <w:spacing w:after="0"/>
            </w:pPr>
            <w:r>
              <w:rPr>
                <w:rFonts w:ascii="Aptos" w:hAnsi="Aptos"/>
                <w:b w:val="0"/>
                <w:color w:val="222222"/>
                <w:sz w:val="17"/>
              </w:rPr>
              <w:t>Sólo protección adicional; la configuración puede depender de infraestructura.</w:t>
            </w:r>
          </w:p>
        </w:tc>
      </w:tr>
      <w:tr>
        <w:tc>
          <w:tcPr>
            <w:tcW w:type="dxa" w:w="3331"/>
            <w:shd w:fill="FFFFFF"/>
            <w:vAlign w:val="center"/>
            <w:tcMar>
              <w:top w:w="90" w:type="dxa"/>
              <w:start w:w="110" w:type="dxa"/>
              <w:bottom w:w="90" w:type="dxa"/>
              <w:end w:w="110" w:type="dxa"/>
            </w:tcMar>
          </w:tcPr>
          <w:p>
            <w:pPr>
              <w:spacing w:after="0"/>
            </w:pPr>
            <w:r>
              <w:rPr>
                <w:rFonts w:ascii="Aptos" w:hAnsi="Aptos"/>
                <w:b w:val="0"/>
                <w:color w:val="222222"/>
                <w:sz w:val="17"/>
              </w:rPr>
              <w:t>Soft Delete</w:t>
            </w:r>
          </w:p>
        </w:tc>
        <w:tc>
          <w:tcPr>
            <w:tcW w:type="dxa" w:w="3331"/>
            <w:shd w:fill="FFFFFF"/>
            <w:vAlign w:val="center"/>
            <w:tcMar>
              <w:top w:w="90" w:type="dxa"/>
              <w:start w:w="110" w:type="dxa"/>
              <w:bottom w:w="90" w:type="dxa"/>
              <w:end w:w="110" w:type="dxa"/>
            </w:tcMar>
          </w:tcPr>
          <w:p>
            <w:pPr>
              <w:spacing w:after="0"/>
            </w:pPr>
            <w:r>
              <w:rPr>
                <w:rFonts w:ascii="Aptos" w:hAnsi="Aptos"/>
                <w:b/>
                <w:color w:val="222222"/>
                <w:sz w:val="17"/>
              </w:rPr>
              <w:t>Opcional de infraestructura</w:t>
            </w:r>
          </w:p>
        </w:tc>
        <w:tc>
          <w:tcPr>
            <w:tcW w:type="dxa" w:w="3331"/>
            <w:shd w:fill="FFFFFF"/>
            <w:vAlign w:val="center"/>
            <w:tcMar>
              <w:top w:w="90" w:type="dxa"/>
              <w:start w:w="110" w:type="dxa"/>
              <w:bottom w:w="90" w:type="dxa"/>
              <w:end w:w="110" w:type="dxa"/>
            </w:tcMar>
          </w:tcPr>
          <w:p>
            <w:pPr>
              <w:spacing w:after="0"/>
            </w:pPr>
            <w:r>
              <w:rPr>
                <w:rFonts w:ascii="Aptos" w:hAnsi="Aptos"/>
                <w:b w:val="0"/>
                <w:color w:val="222222"/>
                <w:sz w:val="17"/>
              </w:rPr>
              <w:t>Protección adicional, no contrato funcional.</w:t>
            </w:r>
          </w:p>
        </w:tc>
      </w:tr>
      <w:tr>
        <w:tc>
          <w:tcPr>
            <w:tcW w:type="dxa" w:w="3331"/>
            <w:shd w:fill="F8F9FA"/>
            <w:vAlign w:val="center"/>
            <w:tcMar>
              <w:top w:w="90" w:type="dxa"/>
              <w:start w:w="110" w:type="dxa"/>
              <w:bottom w:w="90" w:type="dxa"/>
              <w:end w:w="110" w:type="dxa"/>
            </w:tcMar>
          </w:tcPr>
          <w:p>
            <w:pPr>
              <w:spacing w:after="0"/>
            </w:pPr>
            <w:r>
              <w:rPr>
                <w:rFonts w:ascii="Aptos" w:hAnsi="Aptos"/>
                <w:b w:val="0"/>
                <w:color w:val="222222"/>
                <w:sz w:val="17"/>
              </w:rPr>
              <w:t>Lifecycle Management</w:t>
            </w:r>
          </w:p>
        </w:tc>
        <w:tc>
          <w:tcPr>
            <w:tcW w:type="dxa" w:w="3331"/>
            <w:shd w:fill="F8F9FA"/>
            <w:vAlign w:val="center"/>
            <w:tcMar>
              <w:top w:w="90" w:type="dxa"/>
              <w:start w:w="110" w:type="dxa"/>
              <w:bottom w:w="90" w:type="dxa"/>
              <w:end w:w="110" w:type="dxa"/>
            </w:tcMar>
          </w:tcPr>
          <w:p>
            <w:pPr>
              <w:spacing w:after="0"/>
            </w:pPr>
            <w:r>
              <w:rPr>
                <w:rFonts w:ascii="Aptos" w:hAnsi="Aptos"/>
                <w:b/>
                <w:color w:val="222222"/>
                <w:sz w:val="17"/>
              </w:rPr>
              <w:t>A coordinar</w:t>
            </w:r>
          </w:p>
        </w:tc>
        <w:tc>
          <w:tcPr>
            <w:tcW w:type="dxa" w:w="3331"/>
            <w:shd w:fill="F8F9FA"/>
            <w:vAlign w:val="center"/>
            <w:tcMar>
              <w:top w:w="90" w:type="dxa"/>
              <w:start w:w="110" w:type="dxa"/>
              <w:bottom w:w="90" w:type="dxa"/>
              <w:end w:w="110" w:type="dxa"/>
            </w:tcMar>
          </w:tcPr>
          <w:p>
            <w:pPr>
              <w:spacing w:after="0"/>
            </w:pPr>
            <w:r>
              <w:rPr>
                <w:rFonts w:ascii="Aptos" w:hAnsi="Aptos"/>
                <w:b w:val="0"/>
                <w:color w:val="222222"/>
                <w:sz w:val="17"/>
              </w:rPr>
              <w:t>No debe eliminar releases requeridos por Atlanticus.</w:t>
            </w:r>
          </w:p>
        </w:tc>
      </w:tr>
      <w:tr>
        <w:tc>
          <w:tcPr>
            <w:tcW w:type="dxa" w:w="3331"/>
            <w:shd w:fill="FFFFFF"/>
            <w:vAlign w:val="center"/>
            <w:tcMar>
              <w:top w:w="90" w:type="dxa"/>
              <w:start w:w="110" w:type="dxa"/>
              <w:bottom w:w="90" w:type="dxa"/>
              <w:end w:w="110" w:type="dxa"/>
            </w:tcMar>
          </w:tcPr>
          <w:p>
            <w:pPr>
              <w:spacing w:after="0"/>
            </w:pPr>
            <w:r>
              <w:rPr>
                <w:rFonts w:ascii="Aptos" w:hAnsi="Aptos"/>
                <w:b w:val="0"/>
                <w:color w:val="222222"/>
                <w:sz w:val="17"/>
              </w:rPr>
              <w:t>Event Grid / Service Bus</w:t>
            </w:r>
          </w:p>
        </w:tc>
        <w:tc>
          <w:tcPr>
            <w:tcW w:type="dxa" w:w="3331"/>
            <w:shd w:fill="FFFFFF"/>
            <w:vAlign w:val="center"/>
            <w:tcMar>
              <w:top w:w="90" w:type="dxa"/>
              <w:start w:w="110" w:type="dxa"/>
              <w:bottom w:w="90" w:type="dxa"/>
              <w:end w:w="110" w:type="dxa"/>
            </w:tcMar>
          </w:tcPr>
          <w:p>
            <w:pPr>
              <w:spacing w:after="0"/>
            </w:pPr>
            <w:r>
              <w:rPr>
                <w:rFonts w:ascii="Aptos" w:hAnsi="Aptos"/>
                <w:b/>
                <w:color w:val="222222"/>
                <w:sz w:val="17"/>
              </w:rPr>
              <w:t>No inicialmente</w:t>
            </w:r>
          </w:p>
        </w:tc>
        <w:tc>
          <w:tcPr>
            <w:tcW w:type="dxa" w:w="3331"/>
            <w:shd w:fill="FFFFFF"/>
            <w:vAlign w:val="center"/>
            <w:tcMar>
              <w:top w:w="90" w:type="dxa"/>
              <w:start w:w="110" w:type="dxa"/>
              <w:bottom w:w="90" w:type="dxa"/>
              <w:end w:w="110" w:type="dxa"/>
            </w:tcMar>
          </w:tcPr>
          <w:p>
            <w:pPr>
              <w:spacing w:after="0"/>
            </w:pPr>
            <w:r>
              <w:rPr>
                <w:rFonts w:ascii="Aptos" w:hAnsi="Aptos"/>
                <w:b w:val="0"/>
                <w:color w:val="222222"/>
                <w:sz w:val="17"/>
              </w:rPr>
              <w:t>No existe todavía necesidad de automatizar publicación/proyección.</w:t>
            </w:r>
          </w:p>
        </w:tc>
      </w:tr>
      <w:tr>
        <w:tc>
          <w:tcPr>
            <w:tcW w:type="dxa" w:w="3331"/>
            <w:shd w:fill="F8F9FA"/>
            <w:vAlign w:val="center"/>
            <w:tcMar>
              <w:top w:w="90" w:type="dxa"/>
              <w:start w:w="110" w:type="dxa"/>
              <w:bottom w:w="90" w:type="dxa"/>
              <w:end w:w="110" w:type="dxa"/>
            </w:tcMar>
          </w:tcPr>
          <w:p>
            <w:pPr>
              <w:spacing w:after="0"/>
            </w:pPr>
            <w:r>
              <w:rPr>
                <w:rFonts w:ascii="Aptos" w:hAnsi="Aptos"/>
                <w:b w:val="0"/>
                <w:color w:val="222222"/>
                <w:sz w:val="17"/>
              </w:rPr>
              <w:t>WORM / Legal Hold</w:t>
            </w:r>
          </w:p>
        </w:tc>
        <w:tc>
          <w:tcPr>
            <w:tcW w:type="dxa" w:w="3331"/>
            <w:shd w:fill="F8F9FA"/>
            <w:vAlign w:val="center"/>
            <w:tcMar>
              <w:top w:w="90" w:type="dxa"/>
              <w:start w:w="110" w:type="dxa"/>
              <w:bottom w:w="90" w:type="dxa"/>
              <w:end w:w="110" w:type="dxa"/>
            </w:tcMar>
          </w:tcPr>
          <w:p>
            <w:pPr>
              <w:spacing w:after="0"/>
            </w:pPr>
            <w:r>
              <w:rPr>
                <w:rFonts w:ascii="Aptos" w:hAnsi="Aptos"/>
                <w:b/>
                <w:color w:val="222222"/>
                <w:sz w:val="17"/>
              </w:rPr>
              <w:t>No inicialmente</w:t>
            </w:r>
          </w:p>
        </w:tc>
        <w:tc>
          <w:tcPr>
            <w:tcW w:type="dxa" w:w="3331"/>
            <w:shd w:fill="F8F9FA"/>
            <w:vAlign w:val="center"/>
            <w:tcMar>
              <w:top w:w="90" w:type="dxa"/>
              <w:start w:w="110" w:type="dxa"/>
              <w:bottom w:w="90" w:type="dxa"/>
              <w:end w:w="110" w:type="dxa"/>
            </w:tcMar>
          </w:tcPr>
          <w:p>
            <w:pPr>
              <w:spacing w:after="0"/>
            </w:pPr>
            <w:r>
              <w:rPr>
                <w:rFonts w:ascii="Aptos" w:hAnsi="Aptos"/>
                <w:b w:val="0"/>
                <w:color w:val="222222"/>
                <w:sz w:val="17"/>
              </w:rPr>
              <w:t>Sólo si aparece un requerimiento explícito de compliance.</w:t>
            </w:r>
          </w:p>
        </w:tc>
      </w:tr>
      <w:tr>
        <w:tc>
          <w:tcPr>
            <w:tcW w:type="dxa" w:w="3331"/>
            <w:shd w:fill="FFFFFF"/>
            <w:vAlign w:val="center"/>
            <w:tcMar>
              <w:top w:w="90" w:type="dxa"/>
              <w:start w:w="110" w:type="dxa"/>
              <w:bottom w:w="90" w:type="dxa"/>
              <w:end w:w="110" w:type="dxa"/>
            </w:tcMar>
          </w:tcPr>
          <w:p>
            <w:pPr>
              <w:spacing w:after="0"/>
            </w:pPr>
            <w:r>
              <w:rPr>
                <w:rFonts w:ascii="Aptos" w:hAnsi="Aptos"/>
                <w:b w:val="0"/>
                <w:color w:val="222222"/>
                <w:sz w:val="17"/>
              </w:rPr>
              <w:t>Merge automático</w:t>
            </w:r>
          </w:p>
        </w:tc>
        <w:tc>
          <w:tcPr>
            <w:tcW w:type="dxa" w:w="3331"/>
            <w:shd w:fill="FFFFFF"/>
            <w:vAlign w:val="center"/>
            <w:tcMar>
              <w:top w:w="90" w:type="dxa"/>
              <w:start w:w="110" w:type="dxa"/>
              <w:bottom w:w="90" w:type="dxa"/>
              <w:end w:w="110" w:type="dxa"/>
            </w:tcMar>
          </w:tcPr>
          <w:p>
            <w:pPr>
              <w:spacing w:after="0"/>
            </w:pPr>
            <w:r>
              <w:rPr>
                <w:rFonts w:ascii="Aptos" w:hAnsi="Aptos"/>
                <w:b/>
                <w:color w:val="222222"/>
                <w:sz w:val="17"/>
              </w:rPr>
              <w:t>No inicialmente</w:t>
            </w:r>
          </w:p>
        </w:tc>
        <w:tc>
          <w:tcPr>
            <w:tcW w:type="dxa" w:w="3331"/>
            <w:shd w:fill="FFFFFF"/>
            <w:vAlign w:val="center"/>
            <w:tcMar>
              <w:top w:w="90" w:type="dxa"/>
              <w:start w:w="110" w:type="dxa"/>
              <w:bottom w:w="90" w:type="dxa"/>
              <w:end w:w="110" w:type="dxa"/>
            </w:tcMar>
          </w:tcPr>
          <w:p>
            <w:pPr>
              <w:spacing w:after="0"/>
            </w:pPr>
            <w:r>
              <w:rPr>
                <w:rFonts w:ascii="Aptos" w:hAnsi="Aptos"/>
                <w:b w:val="0"/>
                <w:color w:val="222222"/>
                <w:sz w:val="17"/>
              </w:rPr>
              <w:t>Requiere semántica de dominio adicional.</w:t>
            </w:r>
          </w:p>
        </w:tc>
      </w:tr>
    </w:tbl>
    <w:p>
      <w:pPr>
        <w:widowControl/>
      </w:pPr>
      <w:r>
        <w:br w:type="page"/>
      </w:r>
    </w:p>
    <w:p>
      <w:pPr>
        <w:pStyle w:val="Heading1"/>
        <w:widowControl/>
      </w:pPr>
      <w:r>
        <w:t>13. Riesgos y supuestos</w:t>
      </w:r>
    </w:p>
    <w:p>
      <w:pPr>
        <w:pStyle w:val="ListBullet"/>
        <w:spacing w:after="50"/>
        <w:ind w:left="360" w:hanging="173"/>
        <w:widowControl/>
      </w:pPr>
      <w:r>
        <w:rPr>
          <w:rFonts w:ascii="Aptos" w:hAnsi="Aptos"/>
          <w:sz w:val="20"/>
        </w:rPr>
        <w:t>La política de retención y lifecycle de la Storage Account no está bajo control directo del módulo; debe existir un acuerdo de infraestructura que impida la eliminación prematura de los releases funcionales.</w:t>
      </w:r>
    </w:p>
    <w:p>
      <w:pPr>
        <w:pStyle w:val="ListBullet"/>
        <w:spacing w:after="50"/>
        <w:ind w:left="360" w:hanging="173"/>
        <w:widowControl/>
      </w:pPr>
      <w:r>
        <w:rPr>
          <w:rFonts w:ascii="Aptos" w:hAnsi="Aptos"/>
          <w:sz w:val="20"/>
        </w:rPr>
        <w:t>No se ha verificado aún si la cuenta Storage objetivo utiliza Hierarchical Namespace ni si conviene reutilizarla o usar una conexión nombrada específica para configuration_source.</w:t>
      </w:r>
    </w:p>
    <w:p>
      <w:pPr>
        <w:pStyle w:val="ListBullet"/>
        <w:spacing w:after="50"/>
        <w:ind w:left="360" w:hanging="173"/>
        <w:widowControl/>
      </w:pPr>
      <w:r>
        <w:rPr>
          <w:rFonts w:ascii="Aptos" w:hAnsi="Aptos"/>
          <w:sz w:val="20"/>
        </w:rPr>
        <w:t>La identidad final de una versión lógica todavía no está congelada. Un contador secuencial simple (V1, V2, …) requiere resolver asignación concurrente de forma segura.</w:t>
      </w:r>
    </w:p>
    <w:p>
      <w:pPr>
        <w:pStyle w:val="ListBullet"/>
        <w:spacing w:after="50"/>
        <w:ind w:left="360" w:hanging="173"/>
        <w:widowControl/>
      </w:pPr>
      <w:r>
        <w:rPr>
          <w:rFonts w:ascii="Aptos" w:hAnsi="Aptos"/>
          <w:sz w:val="20"/>
        </w:rPr>
        <w:t>La granularidad exacta del snapshot todavía debe contrastarse con la estructura real del manifest y las familias de configuración existentes.</w:t>
      </w:r>
    </w:p>
    <w:p>
      <w:pPr>
        <w:pStyle w:val="ListBullet"/>
        <w:spacing w:after="50"/>
        <w:ind w:left="360" w:hanging="173"/>
        <w:widowControl/>
      </w:pPr>
      <w:r>
        <w:rPr>
          <w:rFonts w:ascii="Aptos" w:hAnsi="Aptos"/>
          <w:sz w:val="20"/>
        </w:rPr>
        <w:t>No se ha definido todavía una política funcional de retención histórica; mientras no exista, el diseño debe asumir que el historial útil no puede depender de expiración automática.</w:t>
      </w:r>
    </w:p>
    <w:p>
      <w:pPr>
        <w:pStyle w:val="ListBullet"/>
        <w:spacing w:after="50"/>
        <w:ind w:left="360" w:hanging="173"/>
        <w:widowControl/>
      </w:pPr>
      <w:r>
        <w:rPr>
          <w:rFonts w:ascii="Aptos" w:hAnsi="Aptos"/>
          <w:sz w:val="20"/>
        </w:rPr>
        <w:t>La comparación estructurada puede comenzar a nivel de manifest/hash y profundizar únicamente en recursos modificados, reduciendo lecturas innecesarias.</w:t>
      </w:r>
    </w:p>
    <w:p>
      <w:pPr>
        <w:pStyle w:val="Heading1"/>
        <w:widowControl/>
      </w:pPr>
      <w:r>
        <w:t>14. Puntos que deben congelarse antes de implementar</w:t>
      </w:r>
    </w:p>
    <w:tbl>
      <w:tblPr>
        <w:tblStyle w:val="TableGrid"/>
        <w:tblW w:type="auto" w:w="0"/>
        <w:jc w:val="center"/>
        <w:tblLook w:firstColumn="1" w:firstRow="1" w:lastColumn="0" w:lastRow="0" w:noHBand="0" w:noVBand="1" w:val="04A0"/>
      </w:tblPr>
      <w:tblGrid>
        <w:gridCol w:w="4997"/>
        <w:gridCol w:w="4997"/>
      </w:tblGrid>
      <w:tr>
        <w:tc>
          <w:tcPr>
            <w:tcW w:type="dxa" w:w="4997"/>
            <w:shd w:fill="17324D"/>
            <w:vAlign w:val="center"/>
            <w:tcMar>
              <w:top w:w="90" w:type="dxa"/>
              <w:start w:w="110" w:type="dxa"/>
              <w:bottom w:w="90" w:type="dxa"/>
              <w:end w:w="110" w:type="dxa"/>
            </w:tcMar>
          </w:tcPr>
          <w:p>
            <w:pPr>
              <w:spacing w:after="0"/>
            </w:pPr>
            <w:r>
              <w:rPr>
                <w:rFonts w:ascii="Aptos" w:hAnsi="Aptos"/>
                <w:b/>
                <w:color w:val="FFFFFF"/>
                <w:sz w:val="18"/>
              </w:rPr>
              <w:t>Pendiente</w:t>
            </w:r>
          </w:p>
        </w:tc>
        <w:tc>
          <w:tcPr>
            <w:tcW w:type="dxa" w:w="4997"/>
            <w:shd w:fill="17324D"/>
            <w:vAlign w:val="center"/>
            <w:tcMar>
              <w:top w:w="90" w:type="dxa"/>
              <w:start w:w="110" w:type="dxa"/>
              <w:bottom w:w="90" w:type="dxa"/>
              <w:end w:w="110" w:type="dxa"/>
            </w:tcMar>
          </w:tcPr>
          <w:p>
            <w:pPr>
              <w:spacing w:after="0"/>
            </w:pPr>
            <w:r>
              <w:rPr>
                <w:rFonts w:ascii="Aptos" w:hAnsi="Aptos"/>
                <w:b/>
                <w:color w:val="FFFFFF"/>
                <w:sz w:val="18"/>
              </w:rPr>
              <w:t>Decisión requerida</w:t>
            </w:r>
          </w:p>
        </w:tc>
      </w:tr>
      <w:tr>
        <w:tc>
          <w:tcPr>
            <w:tcW w:type="dxa" w:w="4997"/>
            <w:vAlign w:val="center"/>
            <w:tcMar>
              <w:top w:w="90" w:type="dxa"/>
              <w:start w:w="110" w:type="dxa"/>
              <w:bottom w:w="90" w:type="dxa"/>
              <w:end w:w="110" w:type="dxa"/>
            </w:tcMar>
          </w:tcPr>
          <w:p>
            <w:pPr>
              <w:spacing w:after="0"/>
            </w:pPr>
            <w:r>
              <w:rPr>
                <w:rFonts w:ascii="Aptos" w:hAnsi="Aptos"/>
                <w:b/>
                <w:color w:val="222222"/>
                <w:sz w:val="17"/>
              </w:rPr>
              <w:t>Identidad de versión</w:t>
            </w:r>
          </w:p>
        </w:tc>
        <w:tc>
          <w:tcPr>
            <w:tcW w:type="dxa" w:w="4997"/>
            <w:vAlign w:val="center"/>
            <w:tcMar>
              <w:top w:w="90" w:type="dxa"/>
              <w:start w:w="110" w:type="dxa"/>
              <w:bottom w:w="90" w:type="dxa"/>
              <w:end w:w="110" w:type="dxa"/>
            </w:tcMar>
          </w:tcPr>
          <w:p>
            <w:pPr>
              <w:spacing w:after="0"/>
            </w:pPr>
            <w:r>
              <w:rPr>
                <w:rFonts w:ascii="Aptos" w:hAnsi="Aptos"/>
                <w:b w:val="0"/>
                <w:color w:val="222222"/>
                <w:sz w:val="17"/>
              </w:rPr>
              <w:t>Definir formato y estrategia de asignación segura de release_id/version.</w:t>
            </w:r>
          </w:p>
        </w:tc>
      </w:tr>
      <w:tr>
        <w:tc>
          <w:tcPr>
            <w:tcW w:type="dxa" w:w="4997"/>
            <w:vAlign w:val="center"/>
            <w:tcMar>
              <w:top w:w="90" w:type="dxa"/>
              <w:start w:w="110" w:type="dxa"/>
              <w:bottom w:w="90" w:type="dxa"/>
              <w:end w:w="110" w:type="dxa"/>
            </w:tcMar>
          </w:tcPr>
          <w:p>
            <w:pPr>
              <w:spacing w:after="0"/>
            </w:pPr>
            <w:r>
              <w:rPr>
                <w:rFonts w:ascii="Aptos" w:hAnsi="Aptos"/>
                <w:b/>
                <w:color w:val="222222"/>
                <w:sz w:val="17"/>
              </w:rPr>
              <w:t>Granularidad del release</w:t>
            </w:r>
          </w:p>
        </w:tc>
        <w:tc>
          <w:tcPr>
            <w:tcW w:type="dxa" w:w="4997"/>
            <w:vAlign w:val="center"/>
            <w:tcMar>
              <w:top w:w="90" w:type="dxa"/>
              <w:start w:w="110" w:type="dxa"/>
              <w:bottom w:w="90" w:type="dxa"/>
              <w:end w:w="110" w:type="dxa"/>
            </w:tcMar>
          </w:tcPr>
          <w:p>
            <w:pPr>
              <w:spacing w:after="0"/>
            </w:pPr>
            <w:r>
              <w:rPr>
                <w:rFonts w:ascii="Aptos" w:hAnsi="Aptos"/>
                <w:b w:val="0"/>
                <w:color w:val="222222"/>
                <w:sz w:val="17"/>
              </w:rPr>
              <w:t>Confirmar si el conjunto publicable completo tiene una sola historia o si existen familias con historias independientes.</w:t>
            </w:r>
          </w:p>
        </w:tc>
      </w:tr>
      <w:tr>
        <w:tc>
          <w:tcPr>
            <w:tcW w:type="dxa" w:w="4997"/>
            <w:vAlign w:val="center"/>
            <w:tcMar>
              <w:top w:w="90" w:type="dxa"/>
              <w:start w:w="110" w:type="dxa"/>
              <w:bottom w:w="90" w:type="dxa"/>
              <w:end w:w="110" w:type="dxa"/>
            </w:tcMar>
          </w:tcPr>
          <w:p>
            <w:pPr>
              <w:spacing w:after="0"/>
            </w:pPr>
            <w:r>
              <w:rPr>
                <w:rFonts w:ascii="Aptos" w:hAnsi="Aptos"/>
                <w:b/>
                <w:color w:val="222222"/>
                <w:sz w:val="17"/>
              </w:rPr>
              <w:t>Manifest</w:t>
            </w:r>
          </w:p>
        </w:tc>
        <w:tc>
          <w:tcPr>
            <w:tcW w:type="dxa" w:w="4997"/>
            <w:vAlign w:val="center"/>
            <w:tcMar>
              <w:top w:w="90" w:type="dxa"/>
              <w:start w:w="110" w:type="dxa"/>
              <w:bottom w:w="90" w:type="dxa"/>
              <w:end w:w="110" w:type="dxa"/>
            </w:tcMar>
          </w:tcPr>
          <w:p>
            <w:pPr>
              <w:spacing w:after="0"/>
            </w:pPr>
            <w:r>
              <w:rPr>
                <w:rFonts w:ascii="Aptos" w:hAnsi="Aptos"/>
                <w:b w:val="0"/>
                <w:color w:val="222222"/>
                <w:sz w:val="17"/>
              </w:rPr>
              <w:t>Congelar campos obligatorios, hashes, relaciones base/current y compatibilidad de esquema.</w:t>
            </w:r>
          </w:p>
        </w:tc>
      </w:tr>
      <w:tr>
        <w:tc>
          <w:tcPr>
            <w:tcW w:type="dxa" w:w="4997"/>
            <w:vAlign w:val="center"/>
            <w:tcMar>
              <w:top w:w="90" w:type="dxa"/>
              <w:start w:w="110" w:type="dxa"/>
              <w:bottom w:w="90" w:type="dxa"/>
              <w:end w:w="110" w:type="dxa"/>
            </w:tcMar>
          </w:tcPr>
          <w:p>
            <w:pPr>
              <w:spacing w:after="0"/>
            </w:pPr>
            <w:r>
              <w:rPr>
                <w:rFonts w:ascii="Aptos" w:hAnsi="Aptos"/>
                <w:b/>
                <w:color w:val="222222"/>
                <w:sz w:val="17"/>
              </w:rPr>
              <w:t>Layout físico</w:t>
            </w:r>
          </w:p>
        </w:tc>
        <w:tc>
          <w:tcPr>
            <w:tcW w:type="dxa" w:w="4997"/>
            <w:vAlign w:val="center"/>
            <w:tcMar>
              <w:top w:w="90" w:type="dxa"/>
              <w:start w:w="110" w:type="dxa"/>
              <w:bottom w:w="90" w:type="dxa"/>
              <w:end w:w="110" w:type="dxa"/>
            </w:tcMar>
          </w:tcPr>
          <w:p>
            <w:pPr>
              <w:spacing w:after="0"/>
            </w:pPr>
            <w:r>
              <w:rPr>
                <w:rFonts w:ascii="Aptos" w:hAnsi="Aptos"/>
                <w:b w:val="0"/>
                <w:color w:val="222222"/>
                <w:sz w:val="17"/>
              </w:rPr>
              <w:t>Definir container/prefix y organización de releases/current sin acoplar el contrato a Azure.</w:t>
            </w:r>
          </w:p>
        </w:tc>
      </w:tr>
      <w:tr>
        <w:tc>
          <w:tcPr>
            <w:tcW w:type="dxa" w:w="4997"/>
            <w:vAlign w:val="center"/>
            <w:tcMar>
              <w:top w:w="90" w:type="dxa"/>
              <w:start w:w="110" w:type="dxa"/>
              <w:bottom w:w="90" w:type="dxa"/>
              <w:end w:w="110" w:type="dxa"/>
            </w:tcMar>
          </w:tcPr>
          <w:p>
            <w:pPr>
              <w:spacing w:after="0"/>
            </w:pPr>
            <w:r>
              <w:rPr>
                <w:rFonts w:ascii="Aptos" w:hAnsi="Aptos"/>
                <w:b/>
                <w:color w:val="222222"/>
                <w:sz w:val="17"/>
              </w:rPr>
              <w:t>Contrato SourceStore</w:t>
            </w:r>
          </w:p>
        </w:tc>
        <w:tc>
          <w:tcPr>
            <w:tcW w:type="dxa" w:w="4997"/>
            <w:vAlign w:val="center"/>
            <w:tcMar>
              <w:top w:w="90" w:type="dxa"/>
              <w:start w:w="110" w:type="dxa"/>
              <w:bottom w:w="90" w:type="dxa"/>
              <w:end w:w="110" w:type="dxa"/>
            </w:tcMar>
          </w:tcPr>
          <w:p>
            <w:pPr>
              <w:spacing w:after="0"/>
            </w:pPr>
            <w:r>
              <w:rPr>
                <w:rFonts w:ascii="Aptos" w:hAnsi="Aptos"/>
                <w:b w:val="0"/>
                <w:color w:val="222222"/>
                <w:sz w:val="17"/>
              </w:rPr>
              <w:t>Definir operaciones, resultados, errores y comportamiento común Local/Blob.</w:t>
            </w:r>
          </w:p>
        </w:tc>
      </w:tr>
      <w:tr>
        <w:tc>
          <w:tcPr>
            <w:tcW w:type="dxa" w:w="4997"/>
            <w:vAlign w:val="center"/>
            <w:tcMar>
              <w:top w:w="90" w:type="dxa"/>
              <w:start w:w="110" w:type="dxa"/>
              <w:bottom w:w="90" w:type="dxa"/>
              <w:end w:w="110" w:type="dxa"/>
            </w:tcMar>
          </w:tcPr>
          <w:p>
            <w:pPr>
              <w:spacing w:after="0"/>
            </w:pPr>
            <w:r>
              <w:rPr>
                <w:rFonts w:ascii="Aptos" w:hAnsi="Aptos"/>
                <w:b/>
                <w:color w:val="222222"/>
                <w:sz w:val="17"/>
              </w:rPr>
              <w:t>Concurrencia</w:t>
            </w:r>
          </w:p>
        </w:tc>
        <w:tc>
          <w:tcPr>
            <w:tcW w:type="dxa" w:w="4997"/>
            <w:vAlign w:val="center"/>
            <w:tcMar>
              <w:top w:w="90" w:type="dxa"/>
              <w:start w:w="110" w:type="dxa"/>
              <w:bottom w:w="90" w:type="dxa"/>
              <w:end w:w="110" w:type="dxa"/>
            </w:tcMar>
          </w:tcPr>
          <w:p>
            <w:pPr>
              <w:spacing w:after="0"/>
            </w:pPr>
            <w:r>
              <w:rPr>
                <w:rFonts w:ascii="Aptos" w:hAnsi="Aptos"/>
                <w:b w:val="0"/>
                <w:color w:val="222222"/>
                <w:sz w:val="17"/>
              </w:rPr>
              <w:t>Congelar precondiciones backend y tratamiento UX de conflictos.</w:t>
            </w:r>
          </w:p>
        </w:tc>
      </w:tr>
      <w:tr>
        <w:tc>
          <w:tcPr>
            <w:tcW w:type="dxa" w:w="4997"/>
            <w:vAlign w:val="center"/>
            <w:tcMar>
              <w:top w:w="90" w:type="dxa"/>
              <w:start w:w="110" w:type="dxa"/>
              <w:bottom w:w="90" w:type="dxa"/>
              <w:end w:w="110" w:type="dxa"/>
            </w:tcMar>
          </w:tcPr>
          <w:p>
            <w:pPr>
              <w:spacing w:after="0"/>
            </w:pPr>
            <w:r>
              <w:rPr>
                <w:rFonts w:ascii="Aptos" w:hAnsi="Aptos"/>
                <w:b/>
                <w:color w:val="222222"/>
                <w:sz w:val="17"/>
              </w:rPr>
              <w:t>Historial/compare</w:t>
            </w:r>
          </w:p>
        </w:tc>
        <w:tc>
          <w:tcPr>
            <w:tcW w:type="dxa" w:w="4997"/>
            <w:vAlign w:val="center"/>
            <w:tcMar>
              <w:top w:w="90" w:type="dxa"/>
              <w:start w:w="110" w:type="dxa"/>
              <w:bottom w:w="90" w:type="dxa"/>
              <w:end w:w="110" w:type="dxa"/>
            </w:tcMar>
          </w:tcPr>
          <w:p>
            <w:pPr>
              <w:spacing w:after="0"/>
            </w:pPr>
            <w:r>
              <w:rPr>
                <w:rFonts w:ascii="Aptos" w:hAnsi="Aptos"/>
                <w:b w:val="0"/>
                <w:color w:val="222222"/>
                <w:sz w:val="17"/>
              </w:rPr>
              <w:t>Definir contrato de inspección y comparación sin introducir merge automático.</w:t>
            </w:r>
          </w:p>
        </w:tc>
      </w:tr>
      <w:tr>
        <w:tc>
          <w:tcPr>
            <w:tcW w:type="dxa" w:w="4997"/>
            <w:vAlign w:val="center"/>
            <w:tcMar>
              <w:top w:w="90" w:type="dxa"/>
              <w:start w:w="110" w:type="dxa"/>
              <w:bottom w:w="90" w:type="dxa"/>
              <w:end w:w="110" w:type="dxa"/>
            </w:tcMar>
          </w:tcPr>
          <w:p>
            <w:pPr>
              <w:spacing w:after="0"/>
            </w:pPr>
            <w:r>
              <w:rPr>
                <w:rFonts w:ascii="Aptos" w:hAnsi="Aptos"/>
                <w:b/>
                <w:color w:val="222222"/>
                <w:sz w:val="17"/>
              </w:rPr>
              <w:t>Projection metadata</w:t>
            </w:r>
          </w:p>
        </w:tc>
        <w:tc>
          <w:tcPr>
            <w:tcW w:type="dxa" w:w="4997"/>
            <w:vAlign w:val="center"/>
            <w:tcMar>
              <w:top w:w="90" w:type="dxa"/>
              <w:start w:w="110" w:type="dxa"/>
              <w:bottom w:w="90" w:type="dxa"/>
              <w:end w:w="110" w:type="dxa"/>
            </w:tcMar>
          </w:tcPr>
          <w:p>
            <w:pPr>
              <w:spacing w:after="0"/>
            </w:pPr>
            <w:r>
              <w:rPr>
                <w:rFonts w:ascii="Aptos" w:hAnsi="Aptos"/>
                <w:b w:val="0"/>
                <w:color w:val="222222"/>
                <w:sz w:val="17"/>
              </w:rPr>
              <w:t>Definir cómo Cosmos/Local identifican el source_release_id proyectado.</w:t>
            </w:r>
          </w:p>
        </w:tc>
      </w:tr>
      <w:tr>
        <w:tc>
          <w:tcPr>
            <w:tcW w:type="dxa" w:w="4997"/>
            <w:vAlign w:val="center"/>
            <w:tcMar>
              <w:top w:w="90" w:type="dxa"/>
              <w:start w:w="110" w:type="dxa"/>
              <w:bottom w:w="90" w:type="dxa"/>
              <w:end w:w="110" w:type="dxa"/>
            </w:tcMar>
          </w:tcPr>
          <w:p>
            <w:pPr>
              <w:spacing w:after="0"/>
            </w:pPr>
            <w:r>
              <w:rPr>
                <w:rFonts w:ascii="Aptos" w:hAnsi="Aptos"/>
                <w:b/>
                <w:color w:val="222222"/>
                <w:sz w:val="17"/>
              </w:rPr>
              <w:t>Retención</w:t>
            </w:r>
          </w:p>
        </w:tc>
        <w:tc>
          <w:tcPr>
            <w:tcW w:type="dxa" w:w="4997"/>
            <w:vAlign w:val="center"/>
            <w:tcMar>
              <w:top w:w="90" w:type="dxa"/>
              <w:start w:w="110" w:type="dxa"/>
              <w:bottom w:w="90" w:type="dxa"/>
              <w:end w:w="110" w:type="dxa"/>
            </w:tcMar>
          </w:tcPr>
          <w:p>
            <w:pPr>
              <w:spacing w:after="0"/>
            </w:pPr>
            <w:r>
              <w:rPr>
                <w:rFonts w:ascii="Aptos" w:hAnsi="Aptos"/>
                <w:b w:val="0"/>
                <w:color w:val="222222"/>
                <w:sz w:val="17"/>
              </w:rPr>
              <w:t>Acordar requisitos mínimos de infraestructura para evitar lifecycle destructivo.</w:t>
            </w:r>
          </w:p>
        </w:tc>
      </w:tr>
    </w:tbl>
    <w:p>
      <w:pPr>
        <w:widowControl/>
      </w:pPr>
      <w:r>
        <w:br w:type="page"/>
      </w:r>
    </w:p>
    <w:p>
      <w:pPr>
        <w:pStyle w:val="Heading1"/>
        <w:widowControl/>
      </w:pPr>
      <w:r>
        <w:t>15. Orden recomendado de trabajo</w:t>
      </w:r>
    </w:p>
    <w:p>
      <w:pPr>
        <w:pStyle w:val="ListNumber"/>
        <w:spacing w:after="60"/>
        <w:widowControl/>
      </w:pPr>
      <w:r>
        <w:rPr>
          <w:rFonts w:ascii="Aptos" w:hAnsi="Aptos"/>
          <w:sz w:val="20"/>
        </w:rPr>
        <w:t>Auditar el manifest y el flujo Source actuales para identificar contratos ya reutilizables.</w:t>
      </w:r>
    </w:p>
    <w:p>
      <w:pPr>
        <w:pStyle w:val="ListNumber"/>
        <w:spacing w:after="60"/>
        <w:widowControl/>
      </w:pPr>
      <w:r>
        <w:rPr>
          <w:rFonts w:ascii="Aptos" w:hAnsi="Aptos"/>
          <w:sz w:val="20"/>
        </w:rPr>
        <w:t>Congelar SourceStore Contract + Release Model sin tocar frontend.</w:t>
      </w:r>
    </w:p>
    <w:p>
      <w:pPr>
        <w:pStyle w:val="ListNumber"/>
        <w:spacing w:after="60"/>
        <w:widowControl/>
      </w:pPr>
      <w:r>
        <w:rPr>
          <w:rFonts w:ascii="Aptos" w:hAnsi="Aptos"/>
          <w:sz w:val="20"/>
        </w:rPr>
        <w:t>Congelar modelo de concurrencia y promoción de current.</w:t>
      </w:r>
    </w:p>
    <w:p>
      <w:pPr>
        <w:pStyle w:val="ListNumber"/>
        <w:spacing w:after="60"/>
        <w:widowControl/>
      </w:pPr>
      <w:r>
        <w:rPr>
          <w:rFonts w:ascii="Aptos" w:hAnsi="Aptos"/>
          <w:sz w:val="20"/>
        </w:rPr>
        <w:t>Implementar primero Local con la nueva semántica y pruebas de versionado/recuperación.</w:t>
      </w:r>
    </w:p>
    <w:p>
      <w:pPr>
        <w:pStyle w:val="ListNumber"/>
        <w:spacing w:after="60"/>
        <w:widowControl/>
      </w:pPr>
      <w:r>
        <w:rPr>
          <w:rFonts w:ascii="Aptos" w:hAnsi="Aptos"/>
          <w:sz w:val="20"/>
        </w:rPr>
        <w:t>Implementar Azure Blob Storage como segundo proveedor del mismo contrato.</w:t>
      </w:r>
    </w:p>
    <w:p>
      <w:pPr>
        <w:pStyle w:val="ListNumber"/>
        <w:spacing w:after="60"/>
        <w:widowControl/>
      </w:pPr>
      <w:r>
        <w:rPr>
          <w:rFonts w:ascii="Aptos" w:hAnsi="Aptos"/>
          <w:sz w:val="20"/>
        </w:rPr>
        <w:t>Incorporar source_release_id al flujo de proyección sin rediseñar Cosmos/local.</w:t>
      </w:r>
    </w:p>
    <w:p>
      <w:pPr>
        <w:pStyle w:val="ListNumber"/>
        <w:spacing w:after="60"/>
        <w:widowControl/>
      </w:pPr>
      <w:r>
        <w:rPr>
          <w:rFonts w:ascii="Aptos" w:hAnsi="Aptos"/>
          <w:sz w:val="20"/>
        </w:rPr>
        <w:t>Evolucionar el Manager para historial, inspección y comparación de versiones.</w:t>
      </w:r>
    </w:p>
    <w:p>
      <w:pPr>
        <w:pStyle w:val="ListNumber"/>
        <w:spacing w:after="60"/>
        <w:widowControl/>
      </w:pPr>
      <w:r>
        <w:rPr>
          <w:rFonts w:ascii="Aptos" w:hAnsi="Aptos"/>
          <w:sz w:val="20"/>
        </w:rPr>
        <w:t>Retirar SharePoint/Power Automate del flujo sólo después de validar paridad funcional y recovery.</w:t>
      </w:r>
    </w:p>
    <w:p>
      <w:pPr>
        <w:pStyle w:val="Heading1"/>
        <w:widowControl/>
      </w:pPr>
      <w:r>
        <w:t>16. Criterio de cierre del futuro upgrade</w:t>
      </w:r>
    </w:p>
    <w:p>
      <w:pPr>
        <w:widowControl/>
      </w:pPr>
      <w:r>
        <w:t>El upgrade podrá considerarse completo cuando Local y Blob implementen la misma semántica de releases, el historial sea no destructivo, el Manager pueda detectar y explicar conflictos, una versión histórica pueda inspeccionarse y republicarse como una nueva versión, y la proyección identifique de forma inequívoca qué release de Source representa.</w:t>
      </w:r>
    </w:p>
    <w:tbl>
      <w:tblPr>
        <w:tblW w:type="auto" w:w="0"/>
        <w:jc w:val="center"/>
        <w:tblLayout w:type="autofit"/>
        <w:tblLook w:firstColumn="1" w:firstRow="1" w:lastColumn="0" w:lastRow="0" w:noHBand="0" w:noVBand="1" w:val="04A0"/>
      </w:tblPr>
      <w:tblGrid>
        <w:gridCol w:w="9994"/>
      </w:tblGrid>
      <w:tr>
        <w:trPr>
          <w:cantSplit/>
        </w:trPr>
        <w:tc>
          <w:tcPr>
            <w:tcW w:type="dxa" w:w="9994"/>
            <w:shd w:fill="EEF3F7"/>
            <w:tcMar>
              <w:top w:w="130" w:type="dxa"/>
              <w:start w:w="150" w:type="dxa"/>
              <w:bottom w:w="130" w:type="dxa"/>
              <w:end w:w="150" w:type="dxa"/>
            </w:tcMar>
            <w:tcBorders>
              <w:top w:val="single" w:sz="8" w:color="315F7D"/>
              <w:left w:val="single" w:sz="8" w:color="315F7D"/>
              <w:bottom w:val="single" w:sz="8" w:color="315F7D"/>
              <w:right w:val="single" w:sz="8" w:color="315F7D"/>
            </w:tcBorders>
          </w:tcPr>
          <w:p>
            <w:pPr>
              <w:spacing w:after="60"/>
            </w:pPr>
            <w:r>
              <w:rPr>
                <w:b/>
                <w:color w:val="17324D"/>
                <w:sz w:val="20"/>
              </w:rPr>
              <w:t>Estado del documento</w:t>
            </w:r>
          </w:p>
          <w:p>
            <w:pPr>
              <w:spacing w:after="0"/>
            </w:pPr>
            <w:r>
              <w:rPr>
                <w:sz w:val="20"/>
              </w:rPr>
              <w:t>Dirección conceptual acordada. Implementación NO iniciada. Próximo trabajo: revisar el manifest y el contrato Source actual para congelar Release Model + SourceStore Contract.</w:t>
            </w:r>
          </w:p>
        </w:tc>
      </w:tr>
    </w:tbl>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73"/>
        <w:sz w:val="16"/>
      </w:rPr>
      <w:t>Trabajo pendiente · 10 septiembre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873"/>
        <w:sz w:val="16"/>
      </w:rPr>
      <w:t>ATLANTICUS / ADA  ·  DISEÑO CONCEPTUAL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15F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
    <w:name w:val="Decision"/>
    <w:pPr>
      <w:spacing w:before="80" w:after="120"/>
      <w:ind w:left="216" w:right="216"/>
    </w:pPr>
    <w:rPr>
      <w:rFonts w:ascii="Aptos" w:hAnsi="Aptos"/>
      <w:color w:val="222222"/>
      <w:sz w:val="20"/>
    </w:rPr>
  </w:style>
  <w:style w:type="paragraph" w:customStyle="1" w:styleId="Small">
    <w:name w:val="Small"/>
    <w:rPr>
      <w:rFonts w:ascii="Aptos" w:hAnsi="Aptos"/>
      <w:color w:val="5D68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Atlanticus / ADA - Upgrade Source Storage SharePoint a Azure Blob Storage</dc:title>
  <dc:subject>Evaluación conceptual y trabajo pendiente</dc:subject>
  <dc:creator>python-docx</dc:creator>
  <cp:keywords>Atlanticus, ADA, Azure Blob Storage, SourceStore, versionado, Manager, Cosmos DB</cp:keywords>
  <dc:description>generated by python-docx</dc:description>
  <cp:lastModifiedBy/>
  <cp:revision>1</cp:revision>
  <dcterms:created xsi:type="dcterms:W3CDTF">2013-12-23T23:15:00Z</dcterms:created>
  <dcterms:modified xsi:type="dcterms:W3CDTF">2013-12-23T23:15:00Z</dcterms:modified>
  <cp:category/>
</cp:coreProperties>
</file>