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Inter" w:hAnsi="Inter"/>
          <w:b/>
          <w:color w:val="C9A24B"/>
          <w:sz w:val="20"/>
        </w:rPr>
        <w:t>ATLANTICUS</w:t>
      </w:r>
    </w:p>
    <w:p>
      <w:pPr>
        <w:pStyle w:val="Title"/>
        <w:spacing w:before="0" w:after="80" w:line="276" w:lineRule="auto"/>
      </w:pPr>
      <w:r>
        <w:rPr>
          <w:rFonts w:ascii="Inter" w:hAnsi="Inter"/>
          <w:b/>
          <w:color w:val="0D1B2A"/>
          <w:sz w:val="48"/>
        </w:rPr>
        <w:t>Frontera de composición UI y propiedad CSS</w:t>
      </w:r>
    </w:p>
    <w:p>
      <w:pPr>
        <w:spacing w:before="0" w:after="200" w:line="276" w:lineRule="auto"/>
        <w:pBdr>
          <w:bottom w:val="single" w:sz="20" w:space="4" w:color="C9A24B"/>
        </w:pBdr>
      </w:pPr>
      <w:r>
        <w:rPr>
          <w:rFonts w:ascii="Inter" w:hAnsi="Inter"/>
          <w:b/>
          <w:color w:val="26425A"/>
          <w:sz w:val="22"/>
        </w:rPr>
        <w:t>WEB-CSS-002 · Decisión arquitectónica / checkpoint de reinicio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FAF4E5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Estado</w:t>
            </w:r>
          </w:p>
        </w:tc>
        <w:tc>
          <w:tcPr>
            <w:tcW w:type="dxa" w:w="4997"/>
            <w:shd w:fill="FFFFFF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color w:val="4D5660"/>
                <w:sz w:val="17"/>
              </w:rPr>
              <w:t>APROBADA · FRONTERA CONGELADA</w:t>
            </w:r>
          </w:p>
        </w:tc>
      </w:tr>
      <w:tr>
        <w:trPr>
          <w:cantSplit/>
        </w:trPr>
        <w:tc>
          <w:tcPr>
            <w:tcW w:type="dxa" w:w="4997"/>
            <w:shd w:fill="FAF4E5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Fecha</w:t>
            </w:r>
          </w:p>
        </w:tc>
        <w:tc>
          <w:tcPr>
            <w:tcW w:type="dxa" w:w="4997"/>
            <w:shd w:fill="FFFFFF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color w:val="4D5660"/>
                <w:sz w:val="17"/>
              </w:rPr>
              <w:t>03 de septiembre de 2026</w:t>
            </w:r>
          </w:p>
        </w:tc>
      </w:tr>
      <w:tr>
        <w:trPr>
          <w:cantSplit/>
        </w:trPr>
        <w:tc>
          <w:tcPr>
            <w:tcW w:type="dxa" w:w="4997"/>
            <w:shd w:fill="FAF4E5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Ámbito</w:t>
            </w:r>
          </w:p>
        </w:tc>
        <w:tc>
          <w:tcPr>
            <w:tcW w:type="dxa" w:w="4997"/>
            <w:shd w:fill="FFFFFF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color w:val="4D5660"/>
                <w:sz w:val="17"/>
              </w:rPr>
              <w:t>Atlanticus Web · Manager y composiciones de configuración</w:t>
            </w:r>
          </w:p>
        </w:tc>
      </w:tr>
      <w:tr>
        <w:trPr>
          <w:cantSplit/>
        </w:trPr>
        <w:tc>
          <w:tcPr>
            <w:tcW w:type="dxa" w:w="4997"/>
            <w:shd w:fill="FAF4E5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Propósito</w:t>
            </w:r>
          </w:p>
        </w:tc>
        <w:tc>
          <w:tcPr>
            <w:tcW w:type="dxa" w:w="4997"/>
            <w:shd w:fill="FFFFFF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  <w:vAlign w:val="center"/>
          </w:tcPr>
          <w:p>
            <w:r>
              <w:rPr>
                <w:rFonts w:ascii="Inter" w:hAnsi="Inter"/>
                <w:color w:val="4D5660"/>
                <w:sz w:val="17"/>
              </w:rPr>
              <w:t>Preservar la decisión si el trabajo visual debe reconstruirse desde cero.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9EEF2"/>
            <w:tcBorders>
              <w:top w:val="single" w:sz="6" w:color="D6DADE"/>
              <w:left w:val="single" w:sz="18" w:color="C9A24B"/>
              <w:bottom w:val="single" w:sz="6" w:color="D6DADE"/>
              <w:right w:val="single" w:sz="6" w:color="D6DADE"/>
            </w:tcBorders>
          </w:tcPr>
          <w:p>
            <w:pPr>
              <w:spacing w:before="0" w:after="40" w:line="276" w:lineRule="auto"/>
            </w:pPr>
            <w:r>
              <w:rPr>
                <w:rFonts w:ascii="Inter" w:hAnsi="Inter"/>
                <w:b/>
                <w:color w:val="0D1B2A"/>
                <w:sz w:val="20"/>
              </w:rPr>
              <w:t>Decisión central</w:t>
            </w:r>
          </w:p>
          <w:p>
            <w:pPr>
              <w:spacing w:before="0" w:after="0" w:line="269" w:lineRule="auto"/>
            </w:pPr>
            <w:r>
              <w:rPr>
                <w:rFonts w:ascii="Inter" w:hAnsi="Inter"/>
                <w:color w:val="4D5660"/>
                <w:sz w:val="18"/>
              </w:rPr>
              <w:t>Atlanticus comparte el lenguaje visual y los estados de interacción. Cada composición conserva la propiedad de su geometría, distribución interna, crecimiento y responsive. Consistencia transversal en el comportamiento visual; independencia en la composición espacial.</w:t>
            </w:r>
          </w:p>
        </w:tc>
      </w:tr>
    </w:tbl>
    <w:p>
      <w:pPr>
        <w:spacing w:after="0"/>
      </w:pPr>
    </w:p>
    <w:p>
      <w:pPr>
        <w:spacing w:before="100" w:after="0" w:line="276" w:lineRule="auto"/>
      </w:pPr>
      <w:r>
        <w:rPr>
          <w:rFonts w:ascii="Inter" w:hAnsi="Inter"/>
          <w:i/>
          <w:color w:val="4D5660"/>
          <w:sz w:val="19"/>
        </w:rPr>
        <w:t>Este documento es deliberadamente autosuficiente. Si se elimina el CSS actual y se reconstruye la UI, estas fronteras deben mantenerse aunque cambien nombres de archivos, componentes o implementación.</w:t>
      </w:r>
    </w:p>
    <w:p>
      <w:pPr>
        <w:pStyle w:val="Heading1"/>
      </w:pPr>
      <w:r>
        <w:t>1. Contexto y problema que origina la decisión</w:t>
      </w:r>
    </w:p>
    <w:p>
      <w:pPr>
        <w:spacing w:before="0" w:after="100" w:line="276" w:lineRule="auto"/>
      </w:pPr>
      <w:r>
        <w:rPr>
          <w:rFonts w:ascii="Inter" w:hAnsi="Inter"/>
          <w:color w:val="4D5660"/>
          <w:sz w:val="19"/>
        </w:rPr>
        <w:t>Manager, Users, Navigation, Herramienta y futuras configuraciones no son una sola interfaz monolítica. Son composiciones aisladas que pueden convivir dentro de una misma aplicación y compartir una identidad Atlanticus, pero cada una responde a un problema, contenido y geometría distintos.</w:t>
      </w:r>
    </w:p>
    <w:p>
      <w:pPr>
        <w:spacing w:before="0" w:after="120" w:line="276" w:lineRule="auto"/>
      </w:pPr>
      <w:r>
        <w:rPr>
          <w:rFonts w:ascii="Inter" w:hAnsi="Inter"/>
          <w:color w:val="4D5660"/>
          <w:sz w:val="19"/>
        </w:rPr>
        <w:t>Durante la normalización visual se acumuló CSS transversal que comenzó a gobernar tamaños, overflow, paddings, grids, heights, inputs, selects y modals de varias composiciones. El resultado fue una cascada difícil de razonar: múltiples reglas apuntaban al mismo selector, los cambios estructurales quedaban ocultos por overrides y se introducían medidas rígidas para hacer que una captura “calzara”.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8"/>
            <w:tcBorders>
              <w:top w:val="single" w:sz="6" w:color="D6DADE"/>
              <w:left w:val="single" w:sz="18" w:color="C9A24B"/>
              <w:bottom w:val="single" w:sz="6" w:color="D6DADE"/>
              <w:right w:val="single" w:sz="6" w:color="D6DADE"/>
            </w:tcBorders>
          </w:tcPr>
          <w:p>
            <w:pPr>
              <w:spacing w:before="0" w:after="40" w:line="276" w:lineRule="auto"/>
            </w:pPr>
            <w:r>
              <w:rPr>
                <w:rFonts w:ascii="Inter" w:hAnsi="Inter"/>
                <w:b/>
                <w:color w:val="0D1B2A"/>
                <w:sz w:val="20"/>
              </w:rPr>
              <w:t>Hallazgo práctico</w:t>
            </w:r>
          </w:p>
          <w:p>
            <w:pPr>
              <w:spacing w:before="0" w:after="0" w:line="269" w:lineRule="auto"/>
            </w:pPr>
            <w:r>
              <w:rPr>
                <w:rFonts w:ascii="Inter" w:hAnsi="Inter"/>
                <w:color w:val="4D5660"/>
                <w:sz w:val="18"/>
              </w:rPr>
              <w:t>Al desactivar restricciones y permitir que varios contenedores usaran el flujo natural y width: 100%, la composición recuperaba su geometría esperada. Esto confirmó que parte de la deuda visual provenía de CSS autoritario, no de la estructura funcional de los componentes.</w:t>
            </w:r>
          </w:p>
        </w:tc>
      </w:tr>
    </w:tbl>
    <w:p>
      <w:pPr>
        <w:spacing w:after="0"/>
      </w:pPr>
    </w:p>
    <w:p>
      <w:pPr>
        <w:pStyle w:val="Heading1"/>
      </w:pPr>
      <w:r>
        <w:t>2. Modelo mental obligatorio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color w:val="0D1B2A"/>
                <w:sz w:val="17"/>
              </w:rPr>
              <w:t>Atlanticus UI = lenguaje visual reutilizable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Manager       = composición / vista propia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Users         = composición / vista propia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Navigation    = composición / vista propia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Herramienta   = composición / vista propia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Configuración futura X = composición / vista propia</w:t>
            </w:r>
          </w:p>
        </w:tc>
      </w:tr>
    </w:tbl>
    <w:p>
      <w:pPr>
        <w:spacing w:after="0"/>
      </w:pPr>
    </w:p>
    <w:p>
      <w:pPr>
        <w:spacing w:before="80" w:after="80" w:line="276" w:lineRule="auto"/>
      </w:pPr>
      <w:r>
        <w:rPr>
          <w:rFonts w:ascii="Inter" w:hAnsi="Inter"/>
          <w:b/>
          <w:color w:val="0D1B2A"/>
          <w:sz w:val="19"/>
        </w:rPr>
        <w:t>Una composición puede usar primitives de Atlanticus, pero no debe depender del CSS espacial de otra composición.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Manager no es el CSS padre de Users, Navigation o Herramienta.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Users no debe conocer la geometría interna de Navigation.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Navigation no debe depender de dimensiones definidas por Manager.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Una nueva configuración debe poder incorporarse con su propia UI sin heredar reglas espaciales accidentales de otra capability.</w:t>
      </w:r>
    </w:p>
    <w:p>
      <w:pPr>
        <w:pStyle w:val="Heading1"/>
      </w:pPr>
      <w:r>
        <w:t>3. Qué pertenece a Atlanticus y sí es reusable</w:t>
      </w:r>
    </w:p>
    <w:p>
      <w:pPr>
        <w:spacing w:before="0" w:after="100" w:line="276" w:lineRule="auto"/>
      </w:pPr>
      <w:r>
        <w:rPr>
          <w:rFonts w:ascii="Inter" w:hAnsi="Inter"/>
          <w:color w:val="4D5660"/>
          <w:sz w:val="19"/>
        </w:rPr>
        <w:t>Atlanticus puede definir primitives y reglas visuales transversales cuando representan semántica o comportamiento visual común, no geometría de una solución concreta.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D1B2A"/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Primitive transversal</w:t>
            </w:r>
          </w:p>
        </w:tc>
        <w:tc>
          <w:tcPr>
            <w:tcW w:type="dxa" w:w="4997"/>
            <w:shd w:fill="0D1B2A"/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Responsabilidad Atlanticus</w:t>
            </w:r>
          </w:p>
        </w:tc>
      </w:tr>
      <w:tr>
        <w:trPr>
          <w:cantSplit/>
        </w:trPr>
        <w:tc>
          <w:tcPr>
            <w:tcW w:type="dxa" w:w="4997"/>
            <w:shd w:fill="FAFBFC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Botón primario / Guardar</w:t>
            </w:r>
          </w:p>
        </w:tc>
        <w:tc>
          <w:tcPr>
            <w:tcW w:type="dxa" w:w="4997"/>
            <w:shd w:fill="FAFBFC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Color base, texto, hover, focus, disabled, cursor y transición.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Botón secundario / Cancelar</w:t>
            </w:r>
          </w:p>
        </w:tc>
        <w:tc>
          <w:tcPr>
            <w:tcW w:type="dxa" w:w="4997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Color, borde, hover, focus, disabled y comportamiento común.</w:t>
            </w:r>
          </w:p>
        </w:tc>
      </w:tr>
      <w:tr>
        <w:trPr>
          <w:cantSplit/>
        </w:trPr>
        <w:tc>
          <w:tcPr>
            <w:tcW w:type="dxa" w:w="4997"/>
            <w:shd w:fill="FAFBFC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Acción destructiva</w:t>
            </w:r>
          </w:p>
        </w:tc>
        <w:tc>
          <w:tcPr>
            <w:tcW w:type="dxa" w:w="4997"/>
            <w:shd w:fill="FAFBFC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Semántica danger, hover, disabled y focus.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Botón de ícono / X cerrar</w:t>
            </w:r>
          </w:p>
        </w:tc>
        <w:tc>
          <w:tcPr>
            <w:tcW w:type="dxa" w:w="4997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Color, hover, focus, cursor y área de interacción coherente.</w:t>
            </w:r>
          </w:p>
        </w:tc>
      </w:tr>
      <w:tr>
        <w:trPr>
          <w:cantSplit/>
        </w:trPr>
        <w:tc>
          <w:tcPr>
            <w:tcW w:type="dxa" w:w="4997"/>
            <w:shd w:fill="FAFBFC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Checkbox / radio</w:t>
            </w:r>
          </w:p>
        </w:tc>
        <w:tc>
          <w:tcPr>
            <w:tcW w:type="dxa" w:w="4997"/>
            <w:shd w:fill="FAFBFC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Accent, focus, disabled y estados de interacción.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Select</w:t>
            </w:r>
          </w:p>
        </w:tc>
        <w:tc>
          <w:tcPr>
            <w:tcW w:type="dxa" w:w="4997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Borde, fondo, estados, focus, menú, selected/hover y disabled.</w:t>
            </w:r>
          </w:p>
        </w:tc>
      </w:tr>
      <w:tr>
        <w:trPr>
          <w:cantSplit/>
        </w:trPr>
        <w:tc>
          <w:tcPr>
            <w:tcW w:type="dxa" w:w="4997"/>
            <w:shd w:fill="FAFBFC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Modal skin</w:t>
            </w:r>
          </w:p>
        </w:tc>
        <w:tc>
          <w:tcPr>
            <w:tcW w:type="dxa" w:w="4997"/>
            <w:shd w:fill="FAFBFC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Overlay, colores de header/body/footer, borde, radius, sombra y estilo de cierre.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Tokens</w:t>
            </w:r>
          </w:p>
        </w:tc>
        <w:tc>
          <w:tcPr>
            <w:tcW w:type="dxa" w:w="4997"/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Paleta, tipografía, radios, sombras, bordes, focus, tiempos de transición y estados semánticos.</w:t>
            </w:r>
          </w:p>
        </w:tc>
      </w:tr>
    </w:tbl>
    <w:p>
      <w:pPr>
        <w:spacing w:before="100" w:after="0" w:line="276" w:lineRule="auto"/>
      </w:pPr>
      <w:r>
        <w:rPr>
          <w:rFonts w:ascii="Inter" w:hAnsi="Inter"/>
          <w:i/>
          <w:color w:val="4D5660"/>
          <w:sz w:val="17"/>
        </w:rPr>
        <w:t>Excepción controlada: un primitive puede definir métricas intrínsecas necesarias para verse consistente (por ejemplo grosor de borde, radio, tamaño del ícono o padding interno de un botón). Eso no autoriza a imponer el tamaño del contenedor o de la composición que lo usa.</w:t>
      </w:r>
    </w:p>
    <w:p>
      <w:pPr>
        <w:pStyle w:val="Heading1"/>
      </w:pPr>
      <w:r>
        <w:t>4. Qué NO pertenece a Atlanticus transversal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Ancho de una página, card, panel o modal de negocio.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Altura total o máxima de una composición para hacerla coincidir con una captura.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Grid de columnas específico de Users, Navigation, Manager o Herramienta.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Paddings externos del contenedor maestro que desplacen toda una composición.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Reglas de overflow usadas para esconder una geometría incorrecta.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Breakpoints globales creados para reparar el layout de una capability concreta.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Selectores globales tipo html/body/#react-entry-point desde una capability de negocio.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Reglas amplias tipo .manager input, .manager .Select o .manager button que terminen estilizando descendientes de otras composiciones.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Magic numbers sin una restricción de producto explicable.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8"/>
            <w:tcBorders>
              <w:top w:val="single" w:sz="6" w:color="D6DADE"/>
              <w:left w:val="single" w:sz="18" w:color="C9A24B"/>
              <w:bottom w:val="single" w:sz="6" w:color="D6DADE"/>
              <w:right w:val="single" w:sz="6" w:color="D6DADE"/>
            </w:tcBorders>
          </w:tcPr>
          <w:p>
            <w:pPr>
              <w:spacing w:before="0" w:after="40" w:line="276" w:lineRule="auto"/>
            </w:pPr>
            <w:r>
              <w:rPr>
                <w:rFonts w:ascii="Inter" w:hAnsi="Inter"/>
                <w:b/>
                <w:color w:val="0D1B2A"/>
                <w:sz w:val="20"/>
              </w:rPr>
              <w:t>Regla de revisión</w:t>
            </w:r>
          </w:p>
          <w:p>
            <w:pPr>
              <w:spacing w:before="0" w:after="0" w:line="269" w:lineRule="auto"/>
            </w:pPr>
            <w:r>
              <w:rPr>
                <w:rFonts w:ascii="Inter" w:hAnsi="Inter"/>
                <w:color w:val="4D5660"/>
                <w:sz w:val="18"/>
              </w:rPr>
              <w:t>Si una medida sólo existe porque “con ese valor se ve bien en esta pantalla”, no es todavía una regla de arquitectura. Primero debe intentarse flujo natural, width: 100%, min-width: 0, grid/flex y contenido autoajustable.</w:t>
            </w:r>
          </w:p>
        </w:tc>
      </w:tr>
    </w:tbl>
    <w:p>
      <w:pPr>
        <w:spacing w:after="0"/>
      </w:pPr>
    </w:p>
    <w:p>
      <w:pPr>
        <w:pStyle w:val="Heading1"/>
      </w:pPr>
      <w:r>
        <w:t>5. Propiedad de cada composición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6425A"/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Composición</w:t>
            </w:r>
          </w:p>
        </w:tc>
        <w:tc>
          <w:tcPr>
            <w:tcW w:type="dxa" w:w="4997"/>
            <w:shd w:fill="26425A"/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Propiedad exclusiva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Manager</w:t>
            </w:r>
          </w:p>
        </w:tc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Shell del Manager, Home, sidebar, navegación del Manager, workflow/Estado y trazabilidad, responsive propio.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Users</w:t>
            </w:r>
          </w:p>
        </w:tc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Perfiles, usuarios, identidades pendientes, listas, formularios y geometría de sus modals.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Navigation</w:t>
            </w:r>
          </w:p>
        </w:tc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Estructura de navegación, enlaces, secciones, permisos, formularios y geometría de sus modals.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Herramienta</w:t>
            </w:r>
          </w:p>
        </w:tc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Fuentes, estructura, componentes/subcomponentes, formularios y responsive de su editor.</w:t>
            </w:r>
          </w:p>
        </w:tc>
      </w:tr>
      <w:tr>
        <w:trPr>
          <w:cantSplit/>
        </w:trPr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/>
                <w:color w:val="0D1B2A"/>
                <w:sz w:val="17"/>
              </w:rPr>
              <w:t>Futura configuración</w:t>
            </w:r>
          </w:p>
        </w:tc>
        <w:tc>
          <w:tcPr>
            <w:tcW w:type="dxa" w:w="499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r>
              <w:rPr>
                <w:rFonts w:ascii="Inter" w:hAnsi="Inter"/>
                <w:b w:val="0"/>
                <w:color w:val="4D5660"/>
                <w:sz w:val="17"/>
              </w:rPr>
              <w:t>Toda su composición interna. Sólo consume primitives Atlanticus; no necesita reutilizar layout de otra capability.</w:t>
            </w:r>
          </w:p>
        </w:tc>
      </w:tr>
    </w:tbl>
    <w:p>
      <w:pPr>
        <w:pStyle w:val="Heading1"/>
      </w:pPr>
      <w:r>
        <w:t>6. Contrato de clases y composición</w:t>
      </w:r>
    </w:p>
    <w:p>
      <w:pPr>
        <w:spacing w:before="0" w:after="100" w:line="276" w:lineRule="auto"/>
      </w:pPr>
      <w:r>
        <w:rPr>
          <w:rFonts w:ascii="Inter" w:hAnsi="Inter"/>
          <w:color w:val="4D5660"/>
          <w:sz w:val="19"/>
        </w:rPr>
        <w:t>Los primitives compartidos no deben llevar el nombre de una composición concreta. Por ejemplo, un botón común no debe llamarse manager__button si también lo consumen Users y Navigation.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color w:val="0D1B2A"/>
                <w:sz w:val="17"/>
              </w:rPr>
              <w:t>atlanticus-ui-button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atlanticus-ui-button--primary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atlanticus-ui-button--secondary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atlanticus-ui-button--danger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atlanticus-ui-icon-button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atlanticus-ui-checkbox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atlanticus-ui-select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atlanticus-ui-modal</w:t>
            </w:r>
          </w:p>
        </w:tc>
      </w:tr>
    </w:tbl>
    <w:p>
      <w:pPr>
        <w:spacing w:after="0"/>
      </w:pPr>
    </w:p>
    <w:p>
      <w:pPr>
        <w:spacing w:before="80" w:after="60" w:line="276" w:lineRule="auto"/>
      </w:pPr>
      <w:r>
        <w:rPr>
          <w:rFonts w:ascii="Inter" w:hAnsi="Inter"/>
          <w:color w:val="4D5660"/>
          <w:sz w:val="18"/>
        </w:rPr>
        <w:t>Una instancia puede combinar un primitive con una clase específica de su composición: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Borders>
              <w:top w:val="single" w:sz="4" w:color="D6DADE"/>
              <w:left w:val="single" w:sz="4" w:color="D6DADE"/>
              <w:bottom w:val="single" w:sz="4" w:color="D6DADE"/>
              <w:right w:val="single" w:sz="4" w:color="D6DADE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/>
                <w:color w:val="0D1B2A"/>
                <w:sz w:val="17"/>
              </w:rPr>
              <w:t>class="atlanticus-ui-modal atlanticus-users-profile-modal"</w:t>
            </w:r>
            <w:r>
              <w:br/>
            </w:r>
            <w:r>
              <w:rPr>
                <w:rFonts w:ascii="DejaVu Sans Mono" w:hAnsi="DejaVu Sans Mono"/>
                <w:color w:val="0D1B2A"/>
                <w:sz w:val="17"/>
              </w:rPr>
              <w:t>class="atlanticus-ui-button atlanticus-ui-button--primary users-profile-save"</w:t>
            </w:r>
          </w:p>
        </w:tc>
      </w:tr>
    </w:tbl>
    <w:p>
      <w:pPr>
        <w:spacing w:after="0"/>
      </w:pPr>
    </w:p>
    <w:p>
      <w:pPr>
        <w:spacing w:before="60" w:after="0" w:line="276" w:lineRule="auto"/>
      </w:pPr>
      <w:r>
        <w:rPr>
          <w:rFonts w:ascii="Inter" w:hAnsi="Inter"/>
          <w:b/>
          <w:color w:val="0D1B2A"/>
          <w:sz w:val="18"/>
        </w:rPr>
        <w:t>El primitive entrega skin y estados. La clase específica decide geometría, distribución y contenido.</w:t>
      </w:r>
    </w:p>
    <w:p>
      <w:pPr>
        <w:pStyle w:val="Heading1"/>
      </w:pPr>
      <w:r>
        <w:t>7. Regla específica para modals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Atlanticus comparte overlay, paleta del header/body/footer, radio, sombra, cierre y estados de interacción.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La composición decide ancho, crecimiento, grid interno, cantidad de columnas, scroll funcional y responsive.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existe un tamaño universal de modal de configuración.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Un modal de Perfil, uno de Navigation y uno futuro de Databricks pueden usar el mismo skin con geometrías completamente diferentes.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El modal no debe heredar reglas espaciales sólo por vivir dentro de Manager.</w:t>
      </w:r>
    </w:p>
    <w:p>
      <w:pPr>
        <w:pStyle w:val="Heading1"/>
      </w:pPr>
      <w:r>
        <w:t>8. Regla específica para inputs, selects y estados de focus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Debe existir un único propietario visual del focus por control.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En controles compuestos como React Select, el borde/ring pertenece al control externo; el input interno no debe dibujar un segundo focus.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Los colores de hover/focus/selected se normalizan como primitive Atlanticus.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El ancho, ubicación y relación con otros campos pertenecen a la composición.</w:t>
      </w:r>
    </w:p>
    <w:p>
      <w:pPr>
        <w:pStyle w:val="Heading1"/>
      </w:pPr>
      <w:r>
        <w:t>9. Estrategia responsive y dimensiones</w:t>
      </w:r>
    </w:p>
    <w:p>
      <w:pPr>
        <w:spacing w:before="0" w:after="80" w:line="276" w:lineRule="auto"/>
      </w:pPr>
      <w:r>
        <w:rPr>
          <w:rFonts w:ascii="Inter" w:hAnsi="Inter"/>
          <w:color w:val="4D5660"/>
          <w:sz w:val="19"/>
        </w:rPr>
        <w:t>La estrategia por defecto es composición fluida. Las medidas rígidas son una excepción que debe justificarse por una restricción real de producto.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Preferir width: 100% cuando el componente debe ocupar el espacio disponible.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Usar min-width: 0 en hijos de grid/flex cuando sea necesario permitir contracción correcta.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Preferir grid/flex con minmax() y wrap antes que widths manuales por pantalla.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Usar height: auto / flujo natural por defecto.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Usar max-width, max-height, calc() o alturas fijas sólo cuando expresen una restricción explícita y documentable.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Los breakpoints pertenecen a la composición que cambia de estructura en ese punto.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utilizar overflow hidden/clip para esconder defectos de layout.</w:t>
      </w:r>
    </w:p>
    <w:p>
      <w:pPr>
        <w:pStyle w:val="Heading1"/>
      </w:pPr>
      <w:r>
        <w:t>10. Ruta de limpieza / reconstrucción</w:t>
      </w:r>
    </w:p>
    <w:p>
      <w:pPr>
        <w:spacing w:before="0" w:after="80" w:line="276" w:lineRule="auto"/>
      </w:pPr>
      <w:r>
        <w:rPr>
          <w:rFonts w:ascii="Inter" w:hAnsi="Inter"/>
          <w:color w:val="4D5660"/>
          <w:sz w:val="19"/>
        </w:rPr>
        <w:t>Si el estado visual actual se descarta o debe reconstruirse, seguir este orden y no volver a acumular overrides terminales: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Inventariar selectores existentes y asignar un único owner: Atlanticus primitive, Manager, Users, Navigation, Herramienta o futura composición.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Extraer primitives Atlanticus mínimos: tokens, botones, icon buttons, checkbox/radio, select, modal skin y estados comunes.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Reconstruir Manager con CSS propio de shell, Home, sidebar y workflow, sin estilizar descendientes de otras capabilities.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Reconstruir Users con su geometría propia, consumiendo sólo primitives comunes.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Reconstruir Navigation de la misma forma.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Reconstruir Herramienta de la misma forma.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Eliminar capas históricas de normalización y corrective cuando sus reglas válidas hayan sido absorbidas por el owner correcto.</w:t>
      </w:r>
    </w:p>
    <w:p>
      <w:pPr>
        <w:pStyle w:val="ListNumber"/>
        <w:spacing w:before="0" w:after="80" w:line="264" w:lineRule="auto"/>
      </w:pPr>
      <w:r>
        <w:rPr>
          <w:rFonts w:ascii="Inter" w:hAnsi="Inter"/>
          <w:color w:val="4D5660"/>
          <w:sz w:val="19"/>
        </w:rPr>
        <w:t>Validar visual y técnicamente después de cada composición antes de avanzar a la siguiente.</w:t>
      </w:r>
    </w:p>
    <w:p>
      <w:pPr>
        <w:pStyle w:val="Heading1"/>
      </w:pPr>
      <w:r>
        <w:t>11. Qué debe desaparecer durante el cleanup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Overrides acumulativos que sólo existen para ganar especificidad a una regla anterior.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Archivos de “visual normalization” usados como parche indefinido.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Archivos terminales de corrective una vez absorbidos por su owner definitivo.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Clases comunes que llevan el nombre de Manager aunque sean consumidas por otras composiciones.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Duplicación de focus, hover, cursor, disabled y select states en varias capabilities.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Medidas autoritarias que no representen una necesidad funcional.</w:t>
      </w:r>
    </w:p>
    <w:p>
      <w:pPr>
        <w:pStyle w:val="Heading1"/>
      </w:pPr>
      <w:r>
        <w:t>12. No objetivos de esta decisión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redefine contratos de negocio de Users, Navigation, Manager o Herramienta.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decide paginación, identidad Entra, movimiento de navegación, Tool domain ni lifecycle.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exige que todas las interfaces se vean idénticas.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obliga a reutilizar un componente si su semántica o comportamiento es diferente.</w:t>
      </w:r>
    </w:p>
    <w:p>
      <w:pPr>
        <w:pStyle w:val="ListBullet"/>
        <w:spacing w:before="0" w:after="60" w:line="264" w:lineRule="auto"/>
        <w:ind w:left="259" w:hanging="173"/>
      </w:pPr>
      <w:r>
        <w:rPr>
          <w:rFonts w:ascii="Inter" w:hAnsi="Inter"/>
          <w:color w:val="4D5660"/>
          <w:sz w:val="19"/>
        </w:rPr>
        <w:t>No prohíbe dimensiones; prohíbe usarlas sin ownership y justificación.</w:t>
      </w:r>
    </w:p>
    <w:p>
      <w:pPr>
        <w:pStyle w:val="Heading1"/>
      </w:pPr>
      <w:r>
        <w:t>13. Criterios de aceptación de la frontera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Una nueva configuración puede incorporarse sin importar CSS espacial de Manager.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Cambiar el layout de Users no altera Navigation ni Herramienta.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Cambiar el color/hover de Guardar sí puede propagarse transversalmente mediante un primitive Atlanticus.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Cambiar el skin del modal puede propagarse, pero no modifica su ancho o grid interno.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Un selector tiene un owner identificable y no necesita una cadena de overrides para funcionar.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DevTools muestra una cascada comprensible: primitive + composición, no varias capas correctivas sobre la misma propiedad.</w:t>
      </w:r>
    </w:p>
    <w:p>
      <w:pPr>
        <w:spacing w:before="0" w:after="60" w:line="276" w:lineRule="auto"/>
      </w:pPr>
      <w:r>
        <w:rPr>
          <w:rFonts w:ascii="Inter" w:hAnsi="Inter"/>
          <w:b/>
          <w:color w:val="C9A24B"/>
          <w:sz w:val="20"/>
        </w:rPr>
        <w:t xml:space="preserve">☐ </w:t>
      </w:r>
      <w:r>
        <w:rPr>
          <w:rFonts w:ascii="Inter" w:hAnsi="Inter"/>
          <w:color w:val="4D5660"/>
          <w:sz w:val="18"/>
        </w:rPr>
        <w:t>Los cambios estructurales se observan realmente al modificar la composición y no quedan ocultos por constraints globales.</w:t>
      </w:r>
    </w:p>
    <w:p>
      <w:pPr>
        <w:pStyle w:val="Heading1"/>
      </w:pPr>
      <w:r>
        <w:t>14. Checkpoint de reinicio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9EEF2"/>
            <w:tcBorders>
              <w:top w:val="single" w:sz="6" w:color="D6DADE"/>
              <w:left w:val="single" w:sz="18" w:color="26425A"/>
              <w:bottom w:val="single" w:sz="6" w:color="D6DADE"/>
              <w:right w:val="single" w:sz="6" w:color="D6DADE"/>
            </w:tcBorders>
          </w:tcPr>
          <w:p>
            <w:pPr>
              <w:spacing w:before="0" w:after="40" w:line="276" w:lineRule="auto"/>
            </w:pPr>
            <w:r>
              <w:rPr>
                <w:rFonts w:ascii="Inter" w:hAnsi="Inter"/>
                <w:b/>
                <w:color w:val="0D1B2A"/>
                <w:sz w:val="20"/>
              </w:rPr>
              <w:t>Si hay que partir de cero</w:t>
            </w:r>
          </w:p>
          <w:p>
            <w:pPr>
              <w:spacing w:before="0" w:after="0" w:line="269" w:lineRule="auto"/>
            </w:pPr>
            <w:r>
              <w:rPr>
                <w:rFonts w:ascii="Inter" w:hAnsi="Inter"/>
                <w:color w:val="4D5660"/>
                <w:sz w:val="18"/>
              </w:rPr>
              <w:t>No reconstruir primero la pantalla. Reconstruir primero la frontera: primitives Atlanticus mínimos y owners por composición. Después levantar Manager, Users, Navigation, Herramienta y nuevas configuraciones una a una. La UI compartida entrega identidad y estados; cada composición entrega su espacio.</w:t>
            </w:r>
          </w:p>
        </w:tc>
      </w:tr>
    </w:tbl>
    <w:p>
      <w:pPr>
        <w:spacing w:after="0"/>
      </w:pPr>
    </w:p>
    <w:p>
      <w:pPr>
        <w:spacing w:before="100" w:after="40" w:line="276" w:lineRule="auto"/>
      </w:pPr>
      <w:r>
        <w:rPr>
          <w:rFonts w:ascii="Inter" w:hAnsi="Inter"/>
          <w:b/>
          <w:color w:val="0D1B2A"/>
          <w:sz w:val="19"/>
        </w:rPr>
        <w:t>Frase de autoridad de esta decisión:</w:t>
      </w:r>
    </w:p>
    <w:p>
      <w:pPr>
        <w:spacing w:before="80" w:after="160" w:line="264" w:lineRule="auto"/>
        <w:jc w:val="center"/>
        <w:pBdr>
          <w:bottom w:val="single" w:sz="12" w:space="4" w:color="C9A24B"/>
        </w:pBdr>
      </w:pPr>
      <w:r>
        <w:rPr>
          <w:rFonts w:ascii="Inter" w:hAnsi="Inter"/>
          <w:b/>
          <w:i/>
          <w:color w:val="26425A"/>
          <w:sz w:val="24"/>
        </w:rPr>
        <w:t>“Consistencia transversal en el comportamiento visual; independencia en la composición espacial.”</w:t>
      </w:r>
    </w:p>
    <w:p>
      <w:pPr>
        <w:spacing w:before="0" w:after="0" w:line="276" w:lineRule="auto"/>
        <w:jc w:val="center"/>
      </w:pPr>
      <w:r>
        <w:rPr>
          <w:rFonts w:ascii="Inter" w:hAnsi="Inter"/>
          <w:i/>
          <w:color w:val="4D5660"/>
          <w:sz w:val="17"/>
        </w:rPr>
        <w:t>Esta decisión se considera congelada para Atlanticus Web hasta que exista una necesidad de producto que justifique revisarla explícitamente.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D5660"/>
        <w:sz w:val="15"/>
      </w:rPr>
      <w:t>Checkpoint de decisión · 03 septiembre 2026 · Atlanticus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C9A24B"/>
      </w:pBdr>
    </w:pPr>
    <w:r>
      <w:rPr>
        <w:rFonts w:ascii="Inter" w:hAnsi="Inter"/>
        <w:b/>
        <w:color w:val="26425A"/>
        <w:sz w:val="15"/>
      </w:rPr>
      <w:t>ATLANTICUS  ·  ARQUITECTURA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4D566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0D1B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26425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0D1B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0D1B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