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464646"/>
          <w:sz w:val="24"/>
        </w:rPr>
        <w:t>ATLANTICUS / ADA</w:t>
      </w:r>
    </w:p>
    <w:p>
      <w:pPr>
        <w:pStyle w:val="Title"/>
        <w:jc w:val="center"/>
      </w:pPr>
      <w:r>
        <w:t>DATA-003 - Tool Source Consumption Contract</w:t>
      </w:r>
    </w:p>
    <w:p>
      <w:pPr>
        <w:jc w:val="center"/>
      </w:pPr>
      <w:r>
        <w:rPr>
          <w:i/>
          <w:sz w:val="20"/>
        </w:rPr>
        <w:t>Contrato backend/web neutral + retiro de previews · v1.0.0 · 30 de agosto de 2026</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7E6E6"/>
          </w:tcPr>
          <w:p>
            <w:pPr>
              <w:spacing w:after="0"/>
            </w:pPr>
            <w:r/>
            <w:r>
              <w:rPr>
                <w:rFonts w:ascii="Aptos" w:hAnsi="Aptos"/>
                <w:b/>
                <w:sz w:val="17"/>
              </w:rPr>
              <w:t>Incremento</w:t>
            </w:r>
          </w:p>
        </w:tc>
        <w:tc>
          <w:tcPr>
            <w:tcW w:type="dxa" w:w="5083"/>
            <w:vAlign w:val="center"/>
          </w:tcPr>
          <w:p>
            <w:pPr>
              <w:spacing w:after="0"/>
            </w:pPr>
            <w:r/>
            <w:r>
              <w:rPr>
                <w:rFonts w:ascii="Aptos" w:hAnsi="Aptos"/>
                <w:b w:val="0"/>
                <w:sz w:val="17"/>
              </w:rPr>
              <w:t>DATA-003 - Tool Source Consumption Contract + Preview Retirement</w:t>
            </w:r>
          </w:p>
        </w:tc>
      </w:tr>
      <w:tr>
        <w:tc>
          <w:tcPr>
            <w:tcW w:type="dxa" w:w="5083"/>
            <w:vAlign w:val="center"/>
            <w:shd w:fill="E7E6E6"/>
          </w:tcPr>
          <w:p>
            <w:pPr>
              <w:spacing w:after="0"/>
            </w:pPr>
            <w:r/>
            <w:r>
              <w:rPr>
                <w:rFonts w:ascii="Aptos" w:hAnsi="Aptos"/>
                <w:b/>
                <w:sz w:val="17"/>
              </w:rPr>
              <w:t>Nuevo package</w:t>
            </w:r>
          </w:p>
        </w:tc>
        <w:tc>
          <w:tcPr>
            <w:tcW w:type="dxa" w:w="5083"/>
            <w:vAlign w:val="center"/>
          </w:tcPr>
          <w:p>
            <w:pPr>
              <w:spacing w:after="0"/>
            </w:pPr>
            <w:r/>
            <w:r>
              <w:rPr>
                <w:rFonts w:ascii="Aptos" w:hAnsi="Aptos"/>
                <w:b w:val="0"/>
                <w:sz w:val="17"/>
              </w:rPr>
              <w:t>ada-configuration-tool-source-consumption==0.1.0</w:t>
            </w:r>
          </w:p>
        </w:tc>
      </w:tr>
      <w:tr>
        <w:tc>
          <w:tcPr>
            <w:tcW w:type="dxa" w:w="5083"/>
            <w:vAlign w:val="center"/>
            <w:shd w:fill="E7E6E6"/>
          </w:tcPr>
          <w:p>
            <w:pPr>
              <w:spacing w:after="0"/>
            </w:pPr>
            <w:r/>
            <w:r>
              <w:rPr>
                <w:rFonts w:ascii="Aptos" w:hAnsi="Aptos"/>
                <w:b/>
                <w:sz w:val="17"/>
              </w:rPr>
              <w:t>Generic Application</w:t>
            </w:r>
          </w:p>
        </w:tc>
        <w:tc>
          <w:tcPr>
            <w:tcW w:type="dxa" w:w="5083"/>
            <w:vAlign w:val="center"/>
          </w:tcPr>
          <w:p>
            <w:pPr>
              <w:spacing w:after="0"/>
            </w:pPr>
            <w:r/>
            <w:r>
              <w:rPr>
                <w:rFonts w:ascii="Aptos" w:hAnsi="Aptos"/>
                <w:b w:val="0"/>
                <w:sz w:val="17"/>
              </w:rPr>
              <w:t>0.1.31 -&gt; 0.1.32</w:t>
            </w:r>
          </w:p>
        </w:tc>
      </w:tr>
      <w:tr>
        <w:tc>
          <w:tcPr>
            <w:tcW w:type="dxa" w:w="5083"/>
            <w:vAlign w:val="center"/>
            <w:shd w:fill="E7E6E6"/>
          </w:tcPr>
          <w:p>
            <w:pPr>
              <w:spacing w:after="0"/>
            </w:pPr>
            <w:r/>
            <w:r>
              <w:rPr>
                <w:rFonts w:ascii="Aptos" w:hAnsi="Aptos"/>
                <w:b/>
                <w:sz w:val="17"/>
              </w:rPr>
              <w:t>Baseline</w:t>
            </w:r>
          </w:p>
        </w:tc>
        <w:tc>
          <w:tcPr>
            <w:tcW w:type="dxa" w:w="5083"/>
            <w:vAlign w:val="center"/>
          </w:tcPr>
          <w:p>
            <w:pPr>
              <w:spacing w:after="0"/>
            </w:pPr>
            <w:r/>
            <w:r>
              <w:rPr>
                <w:rFonts w:ascii="Aptos" w:hAnsi="Aptos"/>
                <w:b w:val="0"/>
                <w:sz w:val="17"/>
              </w:rPr>
              <w:t>CS-008 cerrado / Content State runtime y visual freeze verdes</w:t>
            </w:r>
          </w:p>
        </w:tc>
      </w:tr>
      <w:tr>
        <w:tc>
          <w:tcPr>
            <w:tcW w:type="dxa" w:w="5083"/>
            <w:vAlign w:val="center"/>
            <w:shd w:fill="E7E6E6"/>
          </w:tcPr>
          <w:p>
            <w:pPr>
              <w:spacing w:after="0"/>
            </w:pPr>
            <w:r/>
            <w:r>
              <w:rPr>
                <w:rFonts w:ascii="Aptos" w:hAnsi="Aptos"/>
                <w:b/>
                <w:sz w:val="17"/>
              </w:rPr>
              <w:t>Autoridad</w:t>
            </w:r>
          </w:p>
        </w:tc>
        <w:tc>
          <w:tcPr>
            <w:tcW w:type="dxa" w:w="5083"/>
            <w:vAlign w:val="center"/>
          </w:tcPr>
          <w:p>
            <w:pPr>
              <w:spacing w:after="0"/>
            </w:pPr>
            <w:r/>
            <w:r>
              <w:rPr>
                <w:rFonts w:ascii="Aptos" w:hAnsi="Aptos"/>
                <w:b w:val="0"/>
                <w:sz w:val="17"/>
              </w:rPr>
              <w:t>Tool Configuration declara tool_key + source_keys consumidas</w:t>
            </w:r>
          </w:p>
        </w:tc>
      </w:tr>
      <w:tr>
        <w:tc>
          <w:tcPr>
            <w:tcW w:type="dxa" w:w="5083"/>
            <w:vAlign w:val="center"/>
            <w:shd w:fill="E7E6E6"/>
          </w:tcPr>
          <w:p>
            <w:pPr>
              <w:spacing w:after="0"/>
            </w:pPr>
            <w:r/>
            <w:r>
              <w:rPr>
                <w:rFonts w:ascii="Aptos" w:hAnsi="Aptos"/>
                <w:b/>
                <w:sz w:val="17"/>
              </w:rPr>
              <w:t>Estado</w:t>
            </w:r>
          </w:p>
        </w:tc>
        <w:tc>
          <w:tcPr>
            <w:tcW w:type="dxa" w:w="5083"/>
            <w:vAlign w:val="center"/>
          </w:tcPr>
          <w:p>
            <w:pPr>
              <w:spacing w:after="0"/>
            </w:pPr>
            <w:r/>
            <w:r>
              <w:rPr>
                <w:rFonts w:ascii="Aptos" w:hAnsi="Aptos"/>
                <w:b w:val="0"/>
                <w:sz w:val="17"/>
              </w:rPr>
              <w:t>IMPLEMENTADO · gate autoritativo Python 3.14.2 + UV pendiente</w:t>
            </w:r>
          </w:p>
        </w:tc>
      </w:tr>
    </w:tbl>
    <w:p>
      <w:pPr>
        <w:pStyle w:val="Heading1"/>
      </w:pPr>
      <w:r>
        <w:t>1. Objetivo</w:t>
      </w:r>
    </w:p>
    <w:p>
      <w:r>
        <w:t>Formalizar una única fuente de verdad para la pertenencia de fuentes a una Tool. El contrato debe responder qué fuentes consume una Tool sin contener decisiones de presentación, clasificación operacional ni detalles de transporte. Generic Application consume el contrato por composición, pero no es dueño de la configuración.</w:t>
      </w:r>
    </w:p>
    <w:p>
      <w:pPr>
        <w:pStyle w:val="Heading1"/>
      </w:pPr>
      <w:r>
        <w:t>2. Contrato canónico</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2F3"/>
          </w:tcPr>
          <w:p>
            <w:pPr>
              <w:spacing w:after="0"/>
            </w:pPr>
            <w:r/>
            <w:r>
              <w:rPr>
                <w:rFonts w:ascii="Aptos" w:hAnsi="Aptos"/>
                <w:b/>
                <w:sz w:val="17"/>
              </w:rPr>
              <w:t>Campo</w:t>
            </w:r>
          </w:p>
        </w:tc>
        <w:tc>
          <w:tcPr>
            <w:tcW w:type="dxa" w:w="3389"/>
            <w:vAlign w:val="center"/>
            <w:shd w:fill="D9E2F3"/>
          </w:tcPr>
          <w:p>
            <w:pPr>
              <w:spacing w:after="0"/>
            </w:pPr>
            <w:r/>
            <w:r>
              <w:rPr>
                <w:rFonts w:ascii="Aptos" w:hAnsi="Aptos"/>
                <w:b/>
                <w:sz w:val="17"/>
              </w:rPr>
              <w:t>Tipo</w:t>
            </w:r>
          </w:p>
        </w:tc>
        <w:tc>
          <w:tcPr>
            <w:tcW w:type="dxa" w:w="3389"/>
            <w:vAlign w:val="center"/>
            <w:shd w:fill="D9E2F3"/>
          </w:tcPr>
          <w:p>
            <w:pPr>
              <w:spacing w:after="0"/>
            </w:pPr>
            <w:r/>
            <w:r>
              <w:rPr>
                <w:rFonts w:ascii="Aptos" w:hAnsi="Aptos"/>
                <w:b/>
                <w:sz w:val="17"/>
              </w:rPr>
              <w:t>Semántica</w:t>
            </w:r>
          </w:p>
        </w:tc>
      </w:tr>
      <w:tr>
        <w:tc>
          <w:tcPr>
            <w:tcW w:type="dxa" w:w="3389"/>
            <w:vAlign w:val="center"/>
          </w:tcPr>
          <w:p>
            <w:pPr>
              <w:spacing w:after="0"/>
            </w:pPr>
            <w:r/>
            <w:r>
              <w:rPr>
                <w:rFonts w:ascii="Aptos" w:hAnsi="Aptos"/>
                <w:b w:val="0"/>
                <w:sz w:val="17"/>
              </w:rPr>
              <w:t>tool_key</w:t>
            </w:r>
          </w:p>
        </w:tc>
        <w:tc>
          <w:tcPr>
            <w:tcW w:type="dxa" w:w="3389"/>
            <w:vAlign w:val="center"/>
          </w:tcPr>
          <w:p>
            <w:pPr>
              <w:spacing w:after="0"/>
            </w:pPr>
            <w:r/>
            <w:r>
              <w:rPr>
                <w:rFonts w:ascii="Aptos" w:hAnsi="Aptos"/>
                <w:b w:val="0"/>
                <w:sz w:val="17"/>
              </w:rPr>
              <w:t>str</w:t>
            </w:r>
          </w:p>
        </w:tc>
        <w:tc>
          <w:tcPr>
            <w:tcW w:type="dxa" w:w="3389"/>
            <w:vAlign w:val="center"/>
          </w:tcPr>
          <w:p>
            <w:pPr>
              <w:spacing w:after="0"/>
            </w:pPr>
            <w:r/>
            <w:r>
              <w:rPr>
                <w:rFonts w:ascii="Aptos" w:hAnsi="Aptos"/>
                <w:b w:val="0"/>
                <w:sz w:val="17"/>
              </w:rPr>
              <w:t>Identidad estable de la Tool.</w:t>
            </w:r>
          </w:p>
        </w:tc>
      </w:tr>
      <w:tr>
        <w:tc>
          <w:tcPr>
            <w:tcW w:type="dxa" w:w="3389"/>
            <w:vAlign w:val="center"/>
          </w:tcPr>
          <w:p>
            <w:pPr>
              <w:spacing w:after="0"/>
            </w:pPr>
            <w:r/>
            <w:r>
              <w:rPr>
                <w:rFonts w:ascii="Aptos" w:hAnsi="Aptos"/>
                <w:b w:val="0"/>
                <w:sz w:val="17"/>
              </w:rPr>
              <w:t>source_keys</w:t>
            </w:r>
          </w:p>
        </w:tc>
        <w:tc>
          <w:tcPr>
            <w:tcW w:type="dxa" w:w="3389"/>
            <w:vAlign w:val="center"/>
          </w:tcPr>
          <w:p>
            <w:pPr>
              <w:spacing w:after="0"/>
            </w:pPr>
            <w:r/>
            <w:r>
              <w:rPr>
                <w:rFonts w:ascii="Aptos" w:hAnsi="Aptos"/>
                <w:b w:val="0"/>
                <w:sz w:val="17"/>
              </w:rPr>
              <w:t>tuple[str, ...]</w:t>
            </w:r>
          </w:p>
        </w:tc>
        <w:tc>
          <w:tcPr>
            <w:tcW w:type="dxa" w:w="3389"/>
            <w:vAlign w:val="center"/>
          </w:tcPr>
          <w:p>
            <w:pPr>
              <w:spacing w:after="0"/>
            </w:pPr>
            <w:r/>
            <w:r>
              <w:rPr>
                <w:rFonts w:ascii="Aptos" w:hAnsi="Aptos"/>
                <w:b w:val="0"/>
                <w:sz w:val="17"/>
              </w:rPr>
              <w:t>Fuentes que la Tool declara consumir, en orden y sin duplicados.</w:t>
            </w:r>
          </w:p>
        </w:tc>
      </w:tr>
    </w:tbl>
    <w:p>
      <w:r>
        <w:t>Forma documental congelada: {'tool_key': '&lt;tool&gt;', 'source_keys': ['pi', 'dispatch', 'blockgrade']}. El package expone serialización to_document/from_document para que la integración física futura con Tool Configuration/SharePoint tenga un contrato estable.</w:t>
      </w:r>
    </w:p>
    <w:p>
      <w:pPr>
        <w:pStyle w:val="Heading1"/>
      </w:pPr>
      <w:r>
        <w:t>3. Semántica de opcionalidad</w:t>
      </w:r>
    </w:p>
    <w:p>
      <w:pPr>
        <w:pStyle w:val="ListBullet"/>
        <w:spacing w:after="40"/>
      </w:pPr>
      <w:r>
        <w:t>Una fuente opcional se expresa por presencia o ausencia en source_keys; no existe un flag optional.</w:t>
      </w:r>
    </w:p>
    <w:p>
      <w:pPr>
        <w:pStyle w:val="ListBullet"/>
        <w:spacing w:after="40"/>
      </w:pPr>
      <w:r>
        <w:t>Tool que no declara Dispatch no consume Dispatch y ningún consumidor debe esperarlo.</w:t>
      </w:r>
    </w:p>
    <w:p>
      <w:pPr>
        <w:pStyle w:val="ListBullet"/>
        <w:spacing w:after="40"/>
      </w:pPr>
      <w:r>
        <w:t>Tool que declara Dispatch pero luego no entrega información representa otro caso; DATA-005 definirá esa ausencia/falla.</w:t>
      </w:r>
    </w:p>
    <w:p>
      <w:pPr>
        <w:pStyle w:val="ListBullet"/>
        <w:spacing w:after="40"/>
      </w:pPr>
      <w:r>
        <w:t>Fuentes adicionales como BlockGrade se declaran si la Tool las consume, aunque luego sean informativas.</w:t>
      </w:r>
    </w:p>
    <w:p>
      <w:r>
        <w:br w:type="page"/>
      </w:r>
    </w:p>
    <w:p>
      <w:pPr>
        <w:pStyle w:val="Heading1"/>
      </w:pPr>
      <w:r>
        <w:t>4. Lo que DATA-003 NO guarda</w:t>
      </w:r>
    </w:p>
    <w:p>
      <w:pPr>
        <w:pStyle w:val="ListBullet"/>
        <w:spacing w:after="40"/>
      </w:pPr>
      <w:r>
        <w:t>No guarda roles CONTROL / INFORMATIONAL.</w:t>
      </w:r>
    </w:p>
    <w:p>
      <w:pPr>
        <w:pStyle w:val="ListBullet"/>
        <w:spacing w:after="40"/>
      </w:pPr>
      <w:r>
        <w:t>No guarda flags show_in_summary, show_in_popover o affects_overlay.</w:t>
      </w:r>
    </w:p>
    <w:p>
      <w:pPr>
        <w:pStyle w:val="ListBullet"/>
        <w:spacing w:after="40"/>
      </w:pPr>
      <w:r>
        <w:t>No contiene thresholds de freshness.</w:t>
      </w:r>
    </w:p>
    <w:p>
      <w:pPr>
        <w:pStyle w:val="ListBullet"/>
        <w:spacing w:after="40"/>
      </w:pPr>
      <w:r>
        <w:t>No contiene reglas de Content State.</w:t>
      </w:r>
    </w:p>
    <w:p>
      <w:pPr>
        <w:pStyle w:val="ListBullet"/>
        <w:spacing w:after="40"/>
      </w:pPr>
      <w:r>
        <w:t>No mantiene un catálogo global hardcodeado de fuentes.</w:t>
      </w:r>
    </w:p>
    <w:p>
      <w:pPr>
        <w:pStyle w:val="ListBullet"/>
        <w:spacing w:after="40"/>
      </w:pPr>
      <w:r>
        <w:t>No conoce Collector, Cosmos, SharePoint físico ni adaptadores de transporte.</w:t>
      </w:r>
    </w:p>
    <w:p>
      <w:r>
        <w:t>La ausencia de catálogo global es intencional: cualquier source_key sintácticamente válida puede formar parte del contrato. DATA-004 será responsable de clasificar el rol de una fuente cuando esa clasificación sea necesaria.</w:t>
      </w:r>
    </w:p>
    <w:p>
      <w:pPr>
        <w:pStyle w:val="Heading1"/>
      </w:pPr>
      <w:r>
        <w:t>5. PI explícita en ADA operacional</w:t>
      </w:r>
    </w:p>
    <w:p>
      <w:r>
        <w:t>PI no se inyecta mediante una regla oculta. El modelo neutral permite source_keys vacías o distintas para otros contextos, pero cuando Generic Application compone Time Status, el summary exige PI y DATA-003 valida que 'pi' también haya sido declarada en ToolSourceConsumption. De esta forma la configuración publicada describe realmente el consumo de la Tool.</w:t>
      </w:r>
    </w:p>
    <w:p>
      <w:pPr>
        <w:pStyle w:val="Heading1"/>
      </w:pPr>
      <w:r>
        <w:t>6. Integración con Generic Application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pPr>
              <w:spacing w:after="0"/>
            </w:pPr>
            <w:r/>
            <w:r>
              <w:rPr>
                <w:rFonts w:ascii="Aptos" w:hAnsi="Aptos"/>
                <w:b/>
                <w:sz w:val="17"/>
              </w:rPr>
              <w:t>Entrada pública nueva</w:t>
            </w:r>
          </w:p>
        </w:tc>
        <w:tc>
          <w:tcPr>
            <w:tcW w:type="dxa" w:w="5083"/>
            <w:vAlign w:val="center"/>
          </w:tcPr>
          <w:p>
            <w:pPr>
              <w:spacing w:after="0"/>
            </w:pPr>
            <w:r/>
            <w:r>
              <w:rPr>
                <w:rFonts w:ascii="Aptos" w:hAnsi="Aptos"/>
                <w:b w:val="0"/>
                <w:sz w:val="17"/>
              </w:rPr>
              <w:t>source_consumption: ToolSourceConsumption | None</w:t>
            </w:r>
          </w:p>
        </w:tc>
      </w:tr>
      <w:tr>
        <w:tc>
          <w:tcPr>
            <w:tcW w:type="dxa" w:w="5083"/>
            <w:vAlign w:val="center"/>
          </w:tcPr>
          <w:p>
            <w:pPr>
              <w:spacing w:after="0"/>
            </w:pPr>
            <w:r/>
            <w:r>
              <w:rPr>
                <w:rFonts w:ascii="Aptos" w:hAnsi="Aptos"/>
                <w:b/>
                <w:sz w:val="17"/>
              </w:rPr>
              <w:t>Entrada pública retirada</w:t>
            </w:r>
          </w:p>
        </w:tc>
        <w:tc>
          <w:tcPr>
            <w:tcW w:type="dxa" w:w="5083"/>
            <w:vAlign w:val="center"/>
          </w:tcPr>
          <w:p>
            <w:pPr>
              <w:spacing w:after="0"/>
            </w:pPr>
            <w:r/>
            <w:r>
              <w:rPr>
                <w:rFonts w:ascii="Aptos" w:hAnsi="Aptos"/>
                <w:b w:val="0"/>
                <w:sz w:val="17"/>
              </w:rPr>
              <w:t>tool_key directo en create_application_definition/runtime</w:t>
            </w:r>
          </w:p>
        </w:tc>
      </w:tr>
      <w:tr>
        <w:tc>
          <w:tcPr>
            <w:tcW w:type="dxa" w:w="5083"/>
            <w:vAlign w:val="center"/>
          </w:tcPr>
          <w:p>
            <w:pPr>
              <w:spacing w:after="0"/>
            </w:pPr>
            <w:r/>
            <w:r>
              <w:rPr>
                <w:rFonts w:ascii="Aptos" w:hAnsi="Aptos"/>
                <w:b/>
                <w:sz w:val="17"/>
              </w:rPr>
              <w:t>Tool identity DOM</w:t>
            </w:r>
          </w:p>
        </w:tc>
        <w:tc>
          <w:tcPr>
            <w:tcW w:type="dxa" w:w="5083"/>
            <w:vAlign w:val="center"/>
          </w:tcPr>
          <w:p>
            <w:pPr>
              <w:spacing w:after="0"/>
            </w:pPr>
            <w:r/>
            <w:r>
              <w:rPr>
                <w:rFonts w:ascii="Aptos" w:hAnsi="Aptos"/>
                <w:b w:val="0"/>
                <w:sz w:val="17"/>
              </w:rPr>
              <w:t>Se deriva de source_consumption.tool_key</w:t>
            </w:r>
          </w:p>
        </w:tc>
      </w:tr>
      <w:tr>
        <w:tc>
          <w:tcPr>
            <w:tcW w:type="dxa" w:w="5083"/>
            <w:vAlign w:val="center"/>
          </w:tcPr>
          <w:p>
            <w:pPr>
              <w:spacing w:after="0"/>
            </w:pPr>
            <w:r/>
            <w:r>
              <w:rPr>
                <w:rFonts w:ascii="Aptos" w:hAnsi="Aptos"/>
                <w:b/>
                <w:sz w:val="17"/>
              </w:rPr>
              <w:t>Time Status summary/detail</w:t>
            </w:r>
          </w:p>
        </w:tc>
        <w:tc>
          <w:tcPr>
            <w:tcW w:type="dxa" w:w="5083"/>
            <w:vAlign w:val="center"/>
          </w:tcPr>
          <w:p>
            <w:pPr>
              <w:spacing w:after="0"/>
            </w:pPr>
            <w:r/>
            <w:r>
              <w:rPr>
                <w:rFonts w:ascii="Aptos" w:hAnsi="Aptos"/>
                <w:b w:val="0"/>
                <w:sz w:val="17"/>
              </w:rPr>
              <w:t>Todas sus source_keys deben estar declaradas</w:t>
            </w:r>
          </w:p>
        </w:tc>
      </w:tr>
      <w:tr>
        <w:tc>
          <w:tcPr>
            <w:tcW w:type="dxa" w:w="5083"/>
            <w:vAlign w:val="center"/>
          </w:tcPr>
          <w:p>
            <w:pPr>
              <w:spacing w:after="0"/>
            </w:pPr>
            <w:r/>
            <w:r>
              <w:rPr>
                <w:rFonts w:ascii="Aptos" w:hAnsi="Aptos"/>
                <w:b/>
                <w:sz w:val="17"/>
              </w:rPr>
              <w:t>Content State dependencies</w:t>
            </w:r>
          </w:p>
        </w:tc>
        <w:tc>
          <w:tcPr>
            <w:tcW w:type="dxa" w:w="5083"/>
            <w:vAlign w:val="center"/>
          </w:tcPr>
          <w:p>
            <w:pPr>
              <w:spacing w:after="0"/>
            </w:pPr>
            <w:r/>
            <w:r>
              <w:rPr>
                <w:rFonts w:ascii="Aptos" w:hAnsi="Aptos"/>
                <w:b w:val="0"/>
                <w:sz w:val="17"/>
              </w:rPr>
              <w:t>Todas sus source_keys deben estar declaradas</w:t>
            </w:r>
          </w:p>
        </w:tc>
      </w:tr>
      <w:tr>
        <w:tc>
          <w:tcPr>
            <w:tcW w:type="dxa" w:w="5083"/>
            <w:vAlign w:val="center"/>
          </w:tcPr>
          <w:p>
            <w:pPr>
              <w:spacing w:after="0"/>
            </w:pPr>
            <w:r/>
            <w:r>
              <w:rPr>
                <w:rFonts w:ascii="Aptos" w:hAnsi="Aptos"/>
                <w:b/>
                <w:sz w:val="17"/>
              </w:rPr>
              <w:t>Role mapping</w:t>
            </w:r>
          </w:p>
        </w:tc>
        <w:tc>
          <w:tcPr>
            <w:tcW w:type="dxa" w:w="5083"/>
            <w:vAlign w:val="center"/>
          </w:tcPr>
          <w:p>
            <w:pPr>
              <w:spacing w:after="0"/>
            </w:pPr>
            <w:r/>
            <w:r>
              <w:rPr>
                <w:rFonts w:ascii="Aptos" w:hAnsi="Aptos"/>
                <w:b w:val="0"/>
                <w:sz w:val="17"/>
              </w:rPr>
              <w:t>Permanece explícito; DATA-004 lo formalizará</w:t>
            </w:r>
          </w:p>
        </w:tc>
      </w:tr>
    </w:tbl>
    <w:p>
      <w:pPr>
        <w:pStyle w:val="Heading1"/>
      </w:pPr>
      <w:r>
        <w:t>7. Errores de composición</w:t>
      </w:r>
    </w:p>
    <w:p>
      <w:pPr>
        <w:pStyle w:val="ListBullet"/>
        <w:spacing w:after="40"/>
      </w:pPr>
      <w:r>
        <w:t>Si existe composición source-driven sin ToolSourceConsumption, Generic Application falla explícitamente.</w:t>
      </w:r>
    </w:p>
    <w:p>
      <w:pPr>
        <w:pStyle w:val="ListBullet"/>
        <w:spacing w:after="40"/>
      </w:pPr>
      <w:r>
        <w:t>Si summary/detail/dependency usa una fuente no declarada, falla con ToolSourceConsumptionValidationError.</w:t>
      </w:r>
    </w:p>
    <w:p>
      <w:pPr>
        <w:pStyle w:val="ListBullet"/>
        <w:spacing w:after="40"/>
      </w:pPr>
      <w:r>
        <w:t>No se ocultan silenciosamente fuentes no configuradas y no se asume READY por ausencia.</w:t>
      </w:r>
    </w:p>
    <w:p>
      <w:r>
        <w:br w:type="page"/>
      </w:r>
    </w:p>
    <w:p>
      <w:pPr>
        <w:pStyle w:val="Heading1"/>
      </w:pPr>
      <w:r>
        <w:t>8. Preview retirement</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pPr>
              <w:spacing w:after="0"/>
            </w:pPr>
            <w:r/>
            <w:r>
              <w:rPr>
                <w:rFonts w:ascii="Aptos" w:hAnsi="Aptos"/>
                <w:b/>
                <w:sz w:val="17"/>
              </w:rPr>
              <w:t>time-status/preview</w:t>
            </w:r>
          </w:p>
        </w:tc>
        <w:tc>
          <w:tcPr>
            <w:tcW w:type="dxa" w:w="5083"/>
            <w:vAlign w:val="center"/>
          </w:tcPr>
          <w:p>
            <w:pPr>
              <w:spacing w:after="0"/>
            </w:pPr>
            <w:r/>
            <w:r>
              <w:rPr>
                <w:rFonts w:ascii="Aptos" w:hAnsi="Aptos"/>
                <w:b w:val="0"/>
                <w:sz w:val="17"/>
              </w:rPr>
              <w:t>RETIRAR - freeze TS-012 cumplido</w:t>
            </w:r>
          </w:p>
        </w:tc>
      </w:tr>
      <w:tr>
        <w:tc>
          <w:tcPr>
            <w:tcW w:type="dxa" w:w="5083"/>
            <w:vAlign w:val="center"/>
          </w:tcPr>
          <w:p>
            <w:pPr>
              <w:spacing w:after="0"/>
            </w:pPr>
            <w:r/>
            <w:r>
              <w:rPr>
                <w:rFonts w:ascii="Aptos" w:hAnsi="Aptos"/>
                <w:b/>
                <w:sz w:val="17"/>
              </w:rPr>
              <w:t>content-state/preview</w:t>
            </w:r>
          </w:p>
        </w:tc>
        <w:tc>
          <w:tcPr>
            <w:tcW w:type="dxa" w:w="5083"/>
            <w:vAlign w:val="center"/>
          </w:tcPr>
          <w:p>
            <w:pPr>
              <w:spacing w:after="0"/>
            </w:pPr>
            <w:r/>
            <w:r>
              <w:rPr>
                <w:rFonts w:ascii="Aptos" w:hAnsi="Aptos"/>
                <w:b w:val="0"/>
                <w:sz w:val="17"/>
              </w:rPr>
              <w:t>RETIRAR - freeze CS-008 cumplido</w:t>
            </w:r>
          </w:p>
        </w:tc>
      </w:tr>
      <w:tr>
        <w:tc>
          <w:tcPr>
            <w:tcW w:type="dxa" w:w="5083"/>
            <w:vAlign w:val="center"/>
          </w:tcPr>
          <w:p>
            <w:pPr>
              <w:spacing w:after="0"/>
            </w:pPr>
            <w:r/>
            <w:r>
              <w:rPr>
                <w:rFonts w:ascii="Aptos" w:hAnsi="Aptos"/>
                <w:b/>
                <w:sz w:val="17"/>
              </w:rPr>
              <w:t>inspection/preview</w:t>
            </w:r>
          </w:p>
        </w:tc>
        <w:tc>
          <w:tcPr>
            <w:tcW w:type="dxa" w:w="5083"/>
            <w:vAlign w:val="center"/>
          </w:tcPr>
          <w:p>
            <w:pPr>
              <w:spacing w:after="0"/>
            </w:pPr>
            <w:r/>
            <w:r>
              <w:rPr>
                <w:rFonts w:ascii="Aptos" w:hAnsi="Aptos"/>
                <w:b w:val="0"/>
                <w:sz w:val="17"/>
              </w:rPr>
              <w:t>CONSERVAR - pertenece al track KPI Inspection</w:t>
            </w:r>
          </w:p>
        </w:tc>
      </w:tr>
      <w:tr>
        <w:tc>
          <w:tcPr>
            <w:tcW w:type="dxa" w:w="5083"/>
            <w:vAlign w:val="center"/>
          </w:tcPr>
          <w:p>
            <w:pPr>
              <w:spacing w:after="0"/>
            </w:pPr>
            <w:r/>
            <w:r>
              <w:rPr>
                <w:rFonts w:ascii="Aptos" w:hAnsi="Aptos"/>
                <w:b/>
                <w:sz w:val="17"/>
              </w:rPr>
              <w:t>Rollback</w:t>
            </w:r>
          </w:p>
        </w:tc>
        <w:tc>
          <w:tcPr>
            <w:tcW w:type="dxa" w:w="5083"/>
            <w:vAlign w:val="center"/>
          </w:tcPr>
          <w:p>
            <w:pPr>
              <w:spacing w:after="0"/>
            </w:pPr>
            <w:r/>
            <w:r>
              <w:rPr>
                <w:rFonts w:ascii="Aptos" w:hAnsi="Aptos"/>
                <w:b w:val="0"/>
                <w:sz w:val="17"/>
              </w:rPr>
              <w:t>Move/restore transaccional dentro del mismo filesystem</w:t>
            </w:r>
          </w:p>
        </w:tc>
      </w:tr>
    </w:tbl>
    <w:p>
      <w:r>
        <w:t>El installer mueve temporalmente los previews retirados a un backup dentro del mismo filesystem del repositorio. Si el gate falla, los directorios vuelven a su ubicación original; si termina correctamente, el backup se elimina. Esto evita copiar .venv y caches temporales.</w:t>
      </w:r>
    </w:p>
    <w:p>
      <w:pPr>
        <w:pStyle w:val="Heading1"/>
      </w:pPr>
      <w:r>
        <w:t>9. Versionado y dependencias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2F3"/>
          </w:tcPr>
          <w:p>
            <w:pPr>
              <w:spacing w:after="0"/>
            </w:pPr>
            <w:r/>
            <w:r>
              <w:rPr>
                <w:rFonts w:ascii="Aptos" w:hAnsi="Aptos"/>
                <w:b/>
                <w:sz w:val="17"/>
              </w:rPr>
              <w:t>Paquete</w:t>
            </w:r>
          </w:p>
        </w:tc>
        <w:tc>
          <w:tcPr>
            <w:tcW w:type="dxa" w:w="3389"/>
            <w:vAlign w:val="center"/>
            <w:shd w:fill="D9E2F3"/>
          </w:tcPr>
          <w:p>
            <w:pPr>
              <w:spacing w:after="0"/>
            </w:pPr>
            <w:r/>
            <w:r>
              <w:rPr>
                <w:rFonts w:ascii="Aptos" w:hAnsi="Aptos"/>
                <w:b/>
                <w:sz w:val="17"/>
              </w:rPr>
              <w:t>Antes</w:t>
            </w:r>
          </w:p>
        </w:tc>
        <w:tc>
          <w:tcPr>
            <w:tcW w:type="dxa" w:w="3389"/>
            <w:vAlign w:val="center"/>
            <w:shd w:fill="D9E2F3"/>
          </w:tcPr>
          <w:p>
            <w:pPr>
              <w:spacing w:after="0"/>
            </w:pPr>
            <w:r/>
            <w:r>
              <w:rPr>
                <w:rFonts w:ascii="Aptos" w:hAnsi="Aptos"/>
                <w:b/>
                <w:sz w:val="17"/>
              </w:rPr>
              <w:t>DATA-003</w:t>
            </w:r>
          </w:p>
        </w:tc>
      </w:tr>
      <w:tr>
        <w:tc>
          <w:tcPr>
            <w:tcW w:type="dxa" w:w="3389"/>
            <w:vAlign w:val="center"/>
          </w:tcPr>
          <w:p>
            <w:pPr>
              <w:spacing w:after="0"/>
            </w:pPr>
            <w:r/>
            <w:r>
              <w:rPr>
                <w:rFonts w:ascii="Aptos" w:hAnsi="Aptos"/>
                <w:b w:val="0"/>
                <w:sz w:val="17"/>
              </w:rPr>
              <w:t>ada-configuration-tool-source-consumption</w:t>
            </w:r>
          </w:p>
        </w:tc>
        <w:tc>
          <w:tcPr>
            <w:tcW w:type="dxa" w:w="3389"/>
            <w:vAlign w:val="center"/>
          </w:tcPr>
          <w:p>
            <w:pPr>
              <w:spacing w:after="0"/>
            </w:pPr>
            <w:r/>
            <w:r>
              <w:rPr>
                <w:rFonts w:ascii="Aptos" w:hAnsi="Aptos"/>
                <w:b w:val="0"/>
                <w:sz w:val="17"/>
              </w:rPr>
              <w:t>-</w:t>
            </w:r>
          </w:p>
        </w:tc>
        <w:tc>
          <w:tcPr>
            <w:tcW w:type="dxa" w:w="3389"/>
            <w:vAlign w:val="center"/>
          </w:tcPr>
          <w:p>
            <w:pPr>
              <w:spacing w:after="0"/>
            </w:pPr>
            <w:r/>
            <w:r>
              <w:rPr>
                <w:rFonts w:ascii="Aptos" w:hAnsi="Aptos"/>
                <w:b w:val="0"/>
                <w:sz w:val="17"/>
              </w:rPr>
              <w:t>0.1.0</w:t>
            </w:r>
          </w:p>
        </w:tc>
      </w:tr>
      <w:tr>
        <w:tc>
          <w:tcPr>
            <w:tcW w:type="dxa" w:w="3389"/>
            <w:vAlign w:val="center"/>
          </w:tcPr>
          <w:p>
            <w:pPr>
              <w:spacing w:after="0"/>
            </w:pPr>
            <w:r/>
            <w:r>
              <w:rPr>
                <w:rFonts w:ascii="Aptos" w:hAnsi="Aptos"/>
                <w:b w:val="0"/>
                <w:sz w:val="17"/>
              </w:rPr>
              <w:t>ada-generic-application</w:t>
            </w:r>
          </w:p>
        </w:tc>
        <w:tc>
          <w:tcPr>
            <w:tcW w:type="dxa" w:w="3389"/>
            <w:vAlign w:val="center"/>
          </w:tcPr>
          <w:p>
            <w:pPr>
              <w:spacing w:after="0"/>
            </w:pPr>
            <w:r/>
            <w:r>
              <w:rPr>
                <w:rFonts w:ascii="Aptos" w:hAnsi="Aptos"/>
                <w:b w:val="0"/>
                <w:sz w:val="17"/>
              </w:rPr>
              <w:t>0.1.31</w:t>
            </w:r>
          </w:p>
        </w:tc>
        <w:tc>
          <w:tcPr>
            <w:tcW w:type="dxa" w:w="3389"/>
            <w:vAlign w:val="center"/>
          </w:tcPr>
          <w:p>
            <w:pPr>
              <w:spacing w:after="0"/>
            </w:pPr>
            <w:r/>
            <w:r>
              <w:rPr>
                <w:rFonts w:ascii="Aptos" w:hAnsi="Aptos"/>
                <w:b w:val="0"/>
                <w:sz w:val="17"/>
              </w:rPr>
              <w:t>0.1.32</w:t>
            </w:r>
          </w:p>
        </w:tc>
      </w:tr>
      <w:tr>
        <w:tc>
          <w:tcPr>
            <w:tcW w:type="dxa" w:w="3389"/>
            <w:vAlign w:val="center"/>
          </w:tcPr>
          <w:p>
            <w:pPr>
              <w:spacing w:after="0"/>
            </w:pPr>
            <w:r/>
            <w:r>
              <w:rPr>
                <w:rFonts w:ascii="Aptos" w:hAnsi="Aptos"/>
                <w:b w:val="0"/>
                <w:sz w:val="17"/>
              </w:rPr>
              <w:t>Time Status / Content State productivos</w:t>
            </w:r>
          </w:p>
        </w:tc>
        <w:tc>
          <w:tcPr>
            <w:tcW w:type="dxa" w:w="3389"/>
            <w:vAlign w:val="center"/>
          </w:tcPr>
          <w:p>
            <w:pPr>
              <w:spacing w:after="0"/>
            </w:pPr>
            <w:r/>
            <w:r>
              <w:rPr>
                <w:rFonts w:ascii="Aptos" w:hAnsi="Aptos"/>
                <w:b w:val="0"/>
                <w:sz w:val="17"/>
              </w:rPr>
              <w:t>CS-008 baseline</w:t>
            </w:r>
          </w:p>
        </w:tc>
        <w:tc>
          <w:tcPr>
            <w:tcW w:type="dxa" w:w="3389"/>
            <w:vAlign w:val="center"/>
          </w:tcPr>
          <w:p>
            <w:pPr>
              <w:spacing w:after="0"/>
            </w:pPr>
            <w:r/>
            <w:r>
              <w:rPr>
                <w:rFonts w:ascii="Aptos" w:hAnsi="Aptos"/>
                <w:b w:val="0"/>
                <w:sz w:val="17"/>
              </w:rPr>
              <w:t>Sin cambios</w:t>
            </w:r>
          </w:p>
        </w:tc>
      </w:tr>
    </w:tbl>
    <w:p>
      <w:pPr>
        <w:pStyle w:val="Heading1"/>
      </w:pPr>
      <w:r>
        <w:t>10. Evidencia previa al gate autoritativo</w:t>
      </w:r>
    </w:p>
    <w:p>
      <w:pPr>
        <w:pStyle w:val="ListBullet"/>
        <w:spacing w:after="40"/>
      </w:pPr>
      <w:r>
        <w:t>Tool Source Consumption: 22/22 tests locales PASS.</w:t>
      </w:r>
    </w:p>
    <w:p>
      <w:pPr>
        <w:pStyle w:val="ListBullet"/>
        <w:spacing w:after="40"/>
      </w:pPr>
      <w:r>
        <w:t>Productive/commented semantic mirrors: PASS.</w:t>
      </w:r>
    </w:p>
    <w:p>
      <w:pPr>
        <w:pStyle w:val="ListBullet"/>
        <w:spacing w:after="40"/>
      </w:pPr>
      <w:r>
        <w:t>compileall: PASS.</w:t>
      </w:r>
    </w:p>
    <w:p>
      <w:pPr>
        <w:pStyle w:val="ListBullet"/>
        <w:spacing w:after="40"/>
      </w:pPr>
      <w:r>
        <w:t>Static architecture guard: source_consumption presente; tool_key público paralelo ausente.</w:t>
      </w:r>
    </w:p>
    <w:p>
      <w:pPr>
        <w:pStyle w:val="ListBullet"/>
        <w:spacing w:after="40"/>
      </w:pPr>
      <w:r>
        <w:t>No role/UI tokens ni catálogo global en el nuevo modelo.</w:t>
      </w:r>
    </w:p>
    <w:p>
      <w:pPr>
        <w:pStyle w:val="ListBullet"/>
        <w:spacing w:after="40"/>
      </w:pPr>
      <w:r>
        <w:t>Installer success flow simulado: PASS.</w:t>
      </w:r>
    </w:p>
    <w:p>
      <w:pPr>
        <w:pStyle w:val="ListBullet"/>
        <w:spacing w:after="40"/>
      </w:pPr>
      <w:r>
        <w:t>Forced Generic Application lock failure: rollback PASS con archivos y previews restaurados.</w:t>
      </w:r>
    </w:p>
    <w:p>
      <w:pPr>
        <w:pStyle w:val="Heading1"/>
      </w:pPr>
      <w:r>
        <w:t>11. Fuera de alcance</w:t>
      </w:r>
    </w:p>
    <w:p>
      <w:r>
        <w:t>DATA-003 no implementa SharePoint, Power Automate, Cosmos, Collector ni una proyección física de Tool Configuration. Tampoco deriva automáticamente roles de fuente ni ContentStateDependency. Esos pasos corresponden a DATA-004 y a los incrementos backend posteriores cuando su autoridad esté estable.</w:t>
      </w:r>
    </w:p>
    <w:p>
      <w:pPr>
        <w:pStyle w:val="Heading1"/>
      </w:pPr>
      <w:r>
        <w:t>12. Siguiente incremento</w:t>
      </w:r>
    </w:p>
    <w:p>
      <w:r>
        <w:t>DATA-004 - Source Role Classification: formalizar qué fuentes son de control y cuáles son informativas, manteniendo esa clasificación fuera de Collector y sin flags de UI.</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