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Atlanticus / ADA — TS-005</w:t>
        <w:br/>
        <w:t>Anchored Detail Surface</w:t>
      </w:r>
    </w:p>
    <w:p>
      <w:r>
        <w:rPr>
          <w:b/>
        </w:rPr>
        <w:t>Contrato de incremento v1.0.0</w:t>
      </w:r>
      <w:r>
        <w:t xml:space="preserve"> · 28 de agosto de 2026</w:t>
      </w:r>
    </w:p>
    <w:tbl>
      <w:tblPr>
        <w:tblStyle w:val="TableGrid"/>
        <w:tblW w:type="auto" w:w="0"/>
        <w:jc w:val="left"/>
        <w:tblLook w:firstColumn="1" w:firstRow="1" w:lastColumn="0" w:lastRow="0" w:noHBand="0" w:noVBand="1" w:val="04A0"/>
      </w:tblPr>
      <w:tblGrid>
        <w:gridCol w:w="4968"/>
        <w:gridCol w:w="4968"/>
      </w:tblGrid>
      <w:tr>
        <w:tc>
          <w:tcPr>
            <w:tcW w:type="dxa" w:w="4968"/>
            <w:vAlign w:val="center"/>
          </w:tcPr>
          <w:p>
            <w:pPr>
              <w:spacing w:after="0"/>
            </w:pPr>
            <w:r>
              <w:rPr>
                <w:b/>
              </w:rPr>
              <w:t>Estado</w:t>
            </w:r>
          </w:p>
        </w:tc>
        <w:tc>
          <w:tcPr>
            <w:tcW w:type="dxa" w:w="4968"/>
            <w:vAlign w:val="center"/>
          </w:tcPr>
          <w:p>
            <w:pPr>
              <w:spacing w:after="0"/>
            </w:pPr>
            <w:r>
              <w:t>EN VALIDACIÓN</w:t>
            </w:r>
          </w:p>
        </w:tc>
      </w:tr>
      <w:tr>
        <w:tc>
          <w:tcPr>
            <w:tcW w:type="dxa" w:w="4968"/>
            <w:vAlign w:val="center"/>
          </w:tcPr>
          <w:p>
            <w:pPr>
              <w:spacing w:after="0"/>
            </w:pPr>
            <w:r>
              <w:rPr>
                <w:b/>
              </w:rPr>
              <w:t>Capability</w:t>
            </w:r>
          </w:p>
        </w:tc>
        <w:tc>
          <w:tcPr>
            <w:tcW w:type="dxa" w:w="4968"/>
            <w:vAlign w:val="center"/>
          </w:tcPr>
          <w:p>
            <w:pPr>
              <w:spacing w:after="0"/>
            </w:pPr>
            <w:r>
              <w:t>ada-web-ui-time-status</w:t>
            </w:r>
          </w:p>
        </w:tc>
      </w:tr>
      <w:tr>
        <w:tc>
          <w:tcPr>
            <w:tcW w:type="dxa" w:w="4968"/>
            <w:vAlign w:val="center"/>
          </w:tcPr>
          <w:p>
            <w:pPr>
              <w:spacing w:after="0"/>
            </w:pPr>
            <w:r>
              <w:rPr>
                <w:b/>
              </w:rPr>
              <w:t>Versión objetivo</w:t>
            </w:r>
          </w:p>
        </w:tc>
        <w:tc>
          <w:tcPr>
            <w:tcW w:type="dxa" w:w="4968"/>
            <w:vAlign w:val="center"/>
          </w:tcPr>
          <w:p>
            <w:pPr>
              <w:spacing w:after="0"/>
            </w:pPr>
            <w:r>
              <w:t>0.1.2</w:t>
            </w:r>
          </w:p>
        </w:tc>
      </w:tr>
      <w:tr>
        <w:tc>
          <w:tcPr>
            <w:tcW w:type="dxa" w:w="4968"/>
            <w:vAlign w:val="center"/>
          </w:tcPr>
          <w:p>
            <w:pPr>
              <w:spacing w:after="0"/>
            </w:pPr>
            <w:r>
              <w:rPr>
                <w:b/>
              </w:rPr>
              <w:t>Baseline</w:t>
            </w:r>
          </w:p>
        </w:tc>
        <w:tc>
          <w:tcPr>
            <w:tcW w:type="dxa" w:w="4968"/>
            <w:vAlign w:val="center"/>
          </w:tcPr>
          <w:p>
            <w:pPr>
              <w:spacing w:after="0"/>
            </w:pPr>
            <w:r>
              <w:t>ada-web-ui-time-status 0.1.1</w:t>
            </w:r>
          </w:p>
        </w:tc>
      </w:tr>
      <w:tr>
        <w:tc>
          <w:tcPr>
            <w:tcW w:type="dxa" w:w="4968"/>
            <w:vAlign w:val="center"/>
          </w:tcPr>
          <w:p>
            <w:pPr>
              <w:spacing w:after="0"/>
            </w:pPr>
            <w:r>
              <w:rPr>
                <w:b/>
              </w:rPr>
              <w:t>Siguiente incremento</w:t>
            </w:r>
          </w:p>
        </w:tc>
        <w:tc>
          <w:tcPr>
            <w:tcW w:type="dxa" w:w="4968"/>
            <w:vAlign w:val="center"/>
          </w:tcPr>
          <w:p>
            <w:pPr>
              <w:spacing w:after="0"/>
            </w:pPr>
            <w:r>
              <w:t>TS-006 — Popover JS Controller</w:t>
            </w:r>
          </w:p>
        </w:tc>
      </w:tr>
    </w:tbl>
    <w:p/>
    <w:p>
      <w:pPr>
        <w:pStyle w:val="Heading1"/>
      </w:pPr>
      <w:r>
        <w:t>1. Objetivo</w:t>
      </w:r>
    </w:p>
    <w:p>
      <w:r>
        <w:t>Crear la frontera visual y DOM del detalle de Time Status sin introducir todavía interacción, estado JavaScript ni conexión de datos. El incremento debe permitir que cada instancia de Time Status tenga su propia superficie anclada y evitar cualquier dependencia de un ID global o de un singleton de navegador.</w:t>
      </w:r>
    </w:p>
    <w:p>
      <w:pPr>
        <w:pStyle w:val="Heading1"/>
      </w:pPr>
      <w:r>
        <w:t>2. Contrato congelado</w:t>
      </w:r>
    </w:p>
    <w:p>
      <w:pPr>
        <w:pStyle w:val="ListBullet"/>
      </w:pPr>
      <w:r>
        <w:t>Se mantiene build_time_status_summary(...) como contrato reusable del Summary existente.</w:t>
      </w:r>
    </w:p>
    <w:p>
      <w:pPr>
        <w:pStyle w:val="ListBullet"/>
      </w:pPr>
      <w:r>
        <w:t>Se agrega build_time_status(...), que compone Summary y Detail Surface como hermanos.</w:t>
      </w:r>
    </w:p>
    <w:p>
      <w:pPr>
        <w:pStyle w:val="ListBullet"/>
      </w:pPr>
      <w:r>
        <w:t>Cada composición expone data-ada-time-status-container='true' como frontera DOM local.</w:t>
      </w:r>
    </w:p>
    <w:p>
      <w:pPr>
        <w:pStyle w:val="ListBullet"/>
      </w:pPr>
      <w:r>
        <w:t>La Surface existe sólo cuando TimeStatusSummaryState.has_detail=True.</w:t>
      </w:r>
    </w:p>
    <w:p>
      <w:pPr>
        <w:pStyle w:val="ListBullet"/>
      </w:pPr>
      <w:r>
        <w:t>La Surface inicia cerrada mediante hidden=True y aria-hidden='true'.</w:t>
      </w:r>
    </w:p>
    <w:p>
      <w:pPr>
        <w:pStyle w:val="ListBullet"/>
      </w:pPr>
      <w:r>
        <w:t>La Surface no usa ID global; TS-006 deberá resolverla desde el container de la instancia correspondiente.</w:t>
      </w:r>
    </w:p>
    <w:p>
      <w:pPr>
        <w:pStyle w:val="ListBullet"/>
      </w:pPr>
      <w:r>
        <w:t>La Surface usa posicionamiento absoluto respecto del container relativo y no participa del flujo normal del documento.</w:t>
      </w:r>
    </w:p>
    <w:p>
      <w:pPr>
        <w:pStyle w:val="ListBullet"/>
      </w:pPr>
      <w:r>
        <w:t>No existe backdrop, posición fixed al viewport ni geometría modal.</w:t>
      </w:r>
    </w:p>
    <w:p>
      <w:pPr>
        <w:pStyle w:val="ListBullet"/>
      </w:pPr>
      <w:r>
        <w:t>El contenido detail se inyecta como Component y no congela todavía el modelo final de filas/fuentes.</w:t>
      </w:r>
    </w:p>
    <w:p>
      <w:pPr>
        <w:pStyle w:val="Heading1"/>
        <w:pageBreakBefore/>
      </w:pPr>
      <w:r>
        <w:t>3. Frontera de responsabilidades</w:t>
      </w:r>
    </w:p>
    <w:tbl>
      <w:tblPr>
        <w:tblStyle w:val="TableGrid"/>
        <w:tblW w:type="auto" w:w="0"/>
        <w:jc w:val="left"/>
        <w:tblLook w:firstColumn="1" w:firstRow="1" w:lastColumn="0" w:lastRow="0" w:noHBand="0" w:noVBand="1" w:val="04A0"/>
      </w:tblPr>
      <w:tblGrid>
        <w:gridCol w:w="4968"/>
        <w:gridCol w:w="4968"/>
      </w:tblGrid>
      <w:tr>
        <w:tc>
          <w:tcPr>
            <w:tcW w:type="dxa" w:w="4968"/>
          </w:tcPr>
          <w:p>
            <w:r>
              <w:rPr>
                <w:b/>
              </w:rPr>
              <w:t>TS-005 incluye</w:t>
            </w:r>
          </w:p>
        </w:tc>
        <w:tc>
          <w:tcPr>
            <w:tcW w:type="dxa" w:w="4968"/>
          </w:tcPr>
          <w:p>
            <w:r>
              <w:rPr>
                <w:b/>
              </w:rPr>
              <w:t>TS-005 no incluye</w:t>
            </w:r>
          </w:p>
        </w:tc>
      </w:tr>
      <w:tr>
        <w:tc>
          <w:tcPr>
            <w:tcW w:type="dxa" w:w="4968"/>
          </w:tcPr>
          <w:p>
            <w:r>
              <w:t>Wrapper DOM local</w:t>
            </w:r>
          </w:p>
        </w:tc>
        <w:tc>
          <w:tcPr>
            <w:tcW w:type="dxa" w:w="4968"/>
          </w:tcPr>
          <w:p>
            <w:r>
              <w:t>Click toggle</w:t>
            </w:r>
          </w:p>
        </w:tc>
      </w:tr>
      <w:tr>
        <w:tc>
          <w:tcPr>
            <w:tcW w:type="dxa" w:w="4968"/>
          </w:tcPr>
          <w:p>
            <w:r>
              <w:t>Surface hermana del Summary</w:t>
            </w:r>
          </w:p>
        </w:tc>
        <w:tc>
          <w:tcPr>
            <w:tcW w:type="dxa" w:w="4968"/>
          </w:tcPr>
          <w:p>
            <w:r>
              <w:t>Outside click</w:t>
            </w:r>
          </w:p>
        </w:tc>
      </w:tr>
      <w:tr>
        <w:tc>
          <w:tcPr>
            <w:tcW w:type="dxa" w:w="4968"/>
          </w:tcPr>
          <w:p>
            <w:r>
              <w:t>Estado inicial cerrado</w:t>
            </w:r>
          </w:p>
        </w:tc>
        <w:tc>
          <w:tcPr>
            <w:tcW w:type="dxa" w:w="4968"/>
          </w:tcPr>
          <w:p>
            <w:r>
              <w:t>Escape / keyboard</w:t>
            </w:r>
          </w:p>
        </w:tc>
      </w:tr>
      <w:tr>
        <w:tc>
          <w:tcPr>
            <w:tcW w:type="dxa" w:w="4968"/>
          </w:tcPr>
          <w:p>
            <w:r>
              <w:t>CSS de anclaje local</w:t>
            </w:r>
          </w:p>
        </w:tc>
        <w:tc>
          <w:tcPr>
            <w:tcW w:type="dxa" w:w="4968"/>
          </w:tcPr>
          <w:p>
            <w:r>
              <w:t>Estado open/closed JS</w:t>
            </w:r>
          </w:p>
        </w:tc>
      </w:tr>
      <w:tr>
        <w:tc>
          <w:tcPr>
            <w:tcW w:type="dxa" w:w="4968"/>
          </w:tcPr>
          <w:p>
            <w:r>
              <w:t>Contrato no-modal/no-reflow</w:t>
            </w:r>
          </w:p>
        </w:tc>
        <w:tc>
          <w:tcPr>
            <w:tcW w:type="dxa" w:w="4968"/>
          </w:tcPr>
          <w:p>
            <w:r>
              <w:t>Resiliencia dcc.Interval</w:t>
            </w:r>
          </w:p>
        </w:tc>
      </w:tr>
      <w:tr>
        <w:tc>
          <w:tcPr>
            <w:tcW w:type="dxa" w:w="4968"/>
          </w:tcPr>
          <w:p>
            <w:r>
              <w:t>Guard contra detail inaccesible</w:t>
            </w:r>
          </w:p>
        </w:tc>
        <w:tc>
          <w:tcPr>
            <w:tcW w:type="dxa" w:w="4968"/>
          </w:tcPr>
          <w:p>
            <w:r>
              <w:t>Collector / Store Adapter wiring</w:t>
            </w:r>
          </w:p>
        </w:tc>
      </w:tr>
      <w:tr>
        <w:tc>
          <w:tcPr>
            <w:tcW w:type="dxa" w:w="4968"/>
          </w:tcPr>
          <w:p>
            <w:r/>
          </w:p>
        </w:tc>
        <w:tc>
          <w:tcPr>
            <w:tcW w:type="dxa" w:w="4968"/>
          </w:tcPr>
          <w:p>
            <w:r>
              <w:t>Filtrado de consumos</w:t>
            </w:r>
          </w:p>
        </w:tc>
      </w:tr>
      <w:tr>
        <w:tc>
          <w:tcPr>
            <w:tcW w:type="dxa" w:w="4968"/>
          </w:tcPr>
          <w:p>
            <w:r/>
          </w:p>
        </w:tc>
        <w:tc>
          <w:tcPr>
            <w:tcW w:type="dxa" w:w="4968"/>
          </w:tcPr>
          <w:p>
            <w:r>
              <w:t>Freshness dinámica</w:t>
            </w:r>
          </w:p>
        </w:tc>
      </w:tr>
    </w:tbl>
    <w:p>
      <w:pPr>
        <w:pStyle w:val="Heading1"/>
      </w:pPr>
      <w:r>
        <w:t>4. Decisiones arquitectónicas</w:t>
      </w:r>
    </w:p>
    <w:p>
      <w:r>
        <w:rPr>
          <w:b/>
        </w:rPr>
        <w:t>D-TS-031 — Local DOM anchoring</w:t>
      </w:r>
      <w:r>
        <w:br/>
        <w:t>Cada Time Status compuesto crea su propia frontera data-ada-time-status-container. Summary y Detail Surface son hermanos y el detail no usa ID global. Esto permite que TS-006 resuelva trigger → closest container → surface, evitando cruces entre instancias.</w:t>
      </w:r>
    </w:p>
    <w:p>
      <w:r>
        <w:rPr>
          <w:b/>
        </w:rPr>
        <w:t>D-TS-032 — Interaction boundary</w:t>
      </w:r>
      <w:r>
        <w:br/>
        <w:t>TS-005 sólo materializa la Surface cerrada y su geometría anclada. El controller de apertura/cierre, eventos, resiliencia frente a rerender y datos quedan fuera de este incremento.</w:t>
      </w:r>
    </w:p>
    <w:p>
      <w:pPr>
        <w:pStyle w:val="Heading1"/>
      </w:pPr>
      <w:r>
        <w:t>5. Archivos productivos modificados</w:t>
      </w:r>
    </w:p>
    <w:p>
      <w:pPr>
        <w:pStyle w:val="ListBullet"/>
      </w:pPr>
      <w:r>
        <w:t>scopes/ada/web/ui/time-status/pyproject.toml</w:t>
      </w:r>
    </w:p>
    <w:p>
      <w:pPr>
        <w:pStyle w:val="ListBullet"/>
      </w:pPr>
      <w:r>
        <w:t>scopes/ada/web/ui/time-status/uv.lock</w:t>
      </w:r>
    </w:p>
    <w:p>
      <w:pPr>
        <w:pStyle w:val="ListBullet"/>
      </w:pPr>
      <w:r>
        <w:t>scopes/ada/web/ui/time-status/src/ada/web/ui/time_status/__init__.py</w:t>
      </w:r>
    </w:p>
    <w:p>
      <w:pPr>
        <w:pStyle w:val="ListBullet"/>
      </w:pPr>
      <w:r>
        <w:t>scopes/ada/web/ui/time-status/src/ada/web/ui/time_status/presentation.py</w:t>
      </w:r>
    </w:p>
    <w:p>
      <w:pPr>
        <w:pStyle w:val="ListBullet"/>
      </w:pPr>
      <w:r>
        <w:t>scopes/ada/web/ui/time-status/src/ada/web/ui/time_status/resources/css/10-time-status.css</w:t>
      </w:r>
    </w:p>
    <w:p>
      <w:r>
        <w:t>Se modifican los espejos pedagógicos equivalentes de __init__.py, presentation.py y 10-time-status.css, además de test_presentation.py y test_assets.py.</w:t>
      </w:r>
    </w:p>
    <w:p>
      <w:pPr>
        <w:pStyle w:val="Heading1"/>
        <w:pageBreakBefore/>
      </w:pPr>
      <w:r>
        <w:t>6. Pruebas TS-005</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Contrato</w:t>
            </w:r>
          </w:p>
        </w:tc>
        <w:tc>
          <w:tcPr>
            <w:tcW w:type="dxa" w:w="3312"/>
          </w:tcPr>
          <w:p>
            <w:r>
              <w:rPr>
                <w:b/>
              </w:rPr>
              <w:t>Resultado esperado</w:t>
            </w:r>
          </w:p>
        </w:tc>
      </w:tr>
      <w:tr>
        <w:tc>
          <w:tcPr>
            <w:tcW w:type="dxa" w:w="3312"/>
          </w:tcPr>
          <w:p>
            <w:r>
              <w:t>TS5-T01</w:t>
            </w:r>
          </w:p>
        </w:tc>
        <w:tc>
          <w:tcPr>
            <w:tcW w:type="dxa" w:w="3312"/>
          </w:tcPr>
          <w:p>
            <w:r>
              <w:t>Local anchored surface</w:t>
            </w:r>
          </w:p>
        </w:tc>
        <w:tc>
          <w:tcPr>
            <w:tcW w:type="dxa" w:w="3312"/>
          </w:tcPr>
          <w:p>
            <w:r>
              <w:t>Summary y Surface son siblings; Surface inicia hidden/aria-hidden.</w:t>
            </w:r>
          </w:p>
        </w:tc>
      </w:tr>
      <w:tr>
        <w:tc>
          <w:tcPr>
            <w:tcW w:type="dxa" w:w="3312"/>
          </w:tcPr>
          <w:p>
            <w:r>
              <w:t>TS5-T02</w:t>
            </w:r>
          </w:p>
        </w:tc>
        <w:tc>
          <w:tcPr>
            <w:tcW w:type="dxa" w:w="3312"/>
          </w:tcPr>
          <w:p>
            <w:r>
              <w:t>No-detail composition</w:t>
            </w:r>
          </w:p>
        </w:tc>
        <w:tc>
          <w:tcPr>
            <w:tcW w:type="dxa" w:w="3312"/>
          </w:tcPr>
          <w:p>
            <w:r>
              <w:t>Sin has_detail no existe Surface ni trigger detail.</w:t>
            </w:r>
          </w:p>
        </w:tc>
      </w:tr>
      <w:tr>
        <w:tc>
          <w:tcPr>
            <w:tcW w:type="dxa" w:w="3312"/>
          </w:tcPr>
          <w:p>
            <w:r>
              <w:t>TS5-T03</w:t>
            </w:r>
          </w:p>
        </w:tc>
        <w:tc>
          <w:tcPr>
            <w:tcW w:type="dxa" w:w="3312"/>
          </w:tcPr>
          <w:p>
            <w:r>
              <w:t>Detail contract guard</w:t>
            </w:r>
          </w:p>
        </w:tc>
        <w:tc>
          <w:tcPr>
            <w:tcW w:type="dxa" w:w="3312"/>
          </w:tcPr>
          <w:p>
            <w:r>
              <w:t>Detail inyectado con has_detail=False se rechaza con TimeStatusDefinitionError.</w:t>
            </w:r>
          </w:p>
        </w:tc>
      </w:tr>
      <w:tr>
        <w:tc>
          <w:tcPr>
            <w:tcW w:type="dxa" w:w="3312"/>
          </w:tcPr>
          <w:p>
            <w:r>
              <w:t>TS5-T04</w:t>
            </w:r>
          </w:p>
        </w:tc>
        <w:tc>
          <w:tcPr>
            <w:tcW w:type="dxa" w:w="3312"/>
          </w:tcPr>
          <w:p>
            <w:r>
              <w:t>Non-modal no-reflow CSS</w:t>
            </w:r>
          </w:p>
        </w:tc>
        <w:tc>
          <w:tcPr>
            <w:tcW w:type="dxa" w:w="3312"/>
          </w:tcPr>
          <w:p>
            <w:r>
              <w:t>Container relative; Surface absolute; sin fixed, inset:0 ni backdrop.</w:t>
            </w:r>
          </w:p>
        </w:tc>
      </w:tr>
    </w:tbl>
    <w:p>
      <w:pPr>
        <w:pStyle w:val="Heading1"/>
        <w:pageBreakBefore w:val="0"/>
      </w:pPr>
      <w:r>
        <w:t>7. Validación previa realizada</w:t>
      </w:r>
    </w:p>
    <w:p>
      <w:pPr>
        <w:pStyle w:val="ListBullet"/>
      </w:pPr>
      <w:r>
        <w:t>Python compileall sobre src, tests y commented: PASS.</w:t>
      </w:r>
    </w:p>
    <w:p>
      <w:pPr>
        <w:pStyle w:val="ListBullet"/>
      </w:pPr>
      <w:r>
        <w:t>Semantic productive/commented mirrors: PASS.</w:t>
      </w:r>
    </w:p>
    <w:p>
      <w:pPr>
        <w:pStyle w:val="ListBullet"/>
      </w:pPr>
      <w:r>
        <w:t>node --check sobre el clock JS existente: PASS.</w:t>
      </w:r>
    </w:p>
    <w:p>
      <w:pPr>
        <w:pStyle w:val="ListBullet"/>
      </w:pPr>
      <w:r>
        <w:t>bash -n del instalador: PASS.</w:t>
      </w:r>
    </w:p>
    <w:p>
      <w:pPr>
        <w:pStyle w:val="ListBullet"/>
      </w:pPr>
      <w:r>
        <w:t>Simulación de instalación exitosa: PASS.</w:t>
      </w:r>
    </w:p>
    <w:p>
      <w:pPr>
        <w:pStyle w:val="ListBullet"/>
      </w:pPr>
      <w:r>
        <w:t>Simulación de rollback forzado con restauración SHA-256 exacta: PASS.</w:t>
      </w:r>
    </w:p>
    <w:p>
      <w:pPr>
        <w:pStyle w:val="ListBullet"/>
      </w:pPr>
      <w:r>
        <w:t>ZIP hygiene sin __MACOSX, .DS_Store, __pycache__ ni .pyc: PASS.</w:t>
      </w:r>
    </w:p>
    <w:p>
      <w:r>
        <w:t>No se ejecuta localmente el gate completo Python 3.14.2 + UV porque este entorno no dispone de esa runtime ni de Dash. El gate autoritativo queda en el repositorio del usuario.</w:t>
      </w:r>
    </w:p>
    <w:p>
      <w:pPr>
        <w:pStyle w:val="Heading1"/>
      </w:pPr>
      <w:r>
        <w:t>8. Gate autoritativo</w:t>
      </w:r>
    </w:p>
    <w:p>
      <w:r>
        <w:t>El instalador ejecuta automáticamente el capability gate time-status. Sobre el baseline esperado, la suite incorpora cuatro garantías nuevas y se espera que pytest reporte 22 passed (incluyendo los casos parametrizados existentes).</w:t>
      </w:r>
    </w:p>
    <w:p>
      <w:pPr>
        <w:pStyle w:val="Heading1"/>
      </w:pPr>
      <w:r>
        <w:t>9. Condición de cierre</w:t>
      </w:r>
    </w:p>
    <w:p>
      <w:r>
        <w:t>TS-005 podrá marcarse CERRADO cuando el instalador aplique sobre ada-web-ui-time-status 0.1.1, el gate Python 3.14.2 + UV resulte verde y no aparezca un finding de contrato o packaging. No se requiere validación visual de interacción porque abrir/cerrar pertenece a TS-006.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Atlanticus / ADA · TS-005 · Contract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