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Atlanticus / ADA - TS-008</w:t>
        <w:br/>
        <w:t>Dynamic detail under consumption</w:t>
      </w:r>
    </w:p>
    <w:p>
      <w:pPr/>
      <w:r>
        <w:t>Contrato de incremento v1.0.0 - 29 de agosto de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Estado</w:t>
            </w:r>
          </w:p>
        </w:tc>
        <w:tc>
          <w:tcPr>
            <w:tcW w:type="dxa" w:w="5040"/>
          </w:tcPr>
          <w:p>
            <w:r>
              <w:t>EN VALIDACION</w:t>
            </w:r>
          </w:p>
        </w:tc>
      </w:tr>
      <w:t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ada-web-ui-time-status</w:t>
            </w:r>
          </w:p>
        </w:tc>
      </w:tr>
      <w:tr>
        <w:tc>
          <w:tcPr>
            <w:tcW w:type="dxa" w:w="5040"/>
          </w:tcPr>
          <w:p>
            <w:r>
              <w:t>Version objetivo</w:t>
            </w:r>
          </w:p>
        </w:tc>
        <w:tc>
          <w:tcPr>
            <w:tcW w:type="dxa" w:w="5040"/>
          </w:tcPr>
          <w:p>
            <w:r>
              <w:t>0.1.5</w:t>
            </w:r>
          </w:p>
        </w:tc>
      </w:tr>
      <w:tr>
        <w:tc>
          <w:tcPr>
            <w:tcW w:type="dxa" w:w="5040"/>
          </w:tcPr>
          <w:p>
            <w:r>
              <w:t>Baseline</w:t>
            </w:r>
          </w:p>
        </w:tc>
        <w:tc>
          <w:tcPr>
            <w:tcW w:type="dxa" w:w="5040"/>
          </w:tcPr>
          <w:p>
            <w:r>
              <w:t>ada-web-ui-time-status 0.1.4</w:t>
            </w:r>
          </w:p>
        </w:tc>
      </w:tr>
      <w:tr>
        <w:tc>
          <w:tcPr>
            <w:tcW w:type="dxa" w:w="5040"/>
          </w:tcPr>
          <w:p>
            <w:r>
              <w:t>Fuente de control obligatoria</w:t>
            </w:r>
          </w:p>
        </w:tc>
        <w:tc>
          <w:tcPr>
            <w:tcW w:type="dxa" w:w="5040"/>
          </w:tcPr>
          <w:p>
            <w:r>
              <w:t>PI</w:t>
            </w:r>
          </w:p>
        </w:tc>
      </w:tr>
      <w:tr>
        <w:tc>
          <w:tcPr>
            <w:tcW w:type="dxa" w:w="5040"/>
          </w:tcPr>
          <w:p>
            <w:r>
              <w:t>Fuente de control opcional</w:t>
            </w:r>
          </w:p>
        </w:tc>
        <w:tc>
          <w:tcPr>
            <w:tcW w:type="dxa" w:w="5040"/>
          </w:tcPr>
          <w:p>
            <w:r>
              <w:t>Dispatch</w:t>
            </w:r>
          </w:p>
        </w:tc>
      </w:tr>
      <w:tr>
        <w:tc>
          <w:tcPr>
            <w:tcW w:type="dxa" w:w="5040"/>
          </w:tcPr>
          <w:p>
            <w:r>
              <w:t>Siguiente incremento</w:t>
            </w:r>
          </w:p>
        </w:tc>
        <w:tc>
          <w:tcPr>
            <w:tcW w:type="dxa" w:w="5040"/>
          </w:tcPr>
          <w:p>
            <w:r>
              <w:t>TS-009 - Freshness state resolver</w:t>
            </w:r>
          </w:p>
        </w:tc>
      </w:tr>
    </w:tbl>
    <w:p>
      <w:pPr>
        <w:pStyle w:val="Heading1"/>
      </w:pPr>
      <w:r>
        <w:t>1. Objetivo</w:t>
      </w:r>
    </w:p>
    <w:p>
      <w:r>
        <w:t>Construir el contenido del Detail de Time Status exclusivamente desde las fuentes que la Tool consume. PI debe estar siempre presente; Dispatch aparece solo cuando la Tool lo consume; las fuentes adicionales se muestran como informacion contextual. TS-008 no calcula freshness ni permite que una fuente informativa afecte el estado operacional de Time Status.</w:t>
      </w:r>
    </w:p>
    <w:p>
      <w:pPr>
        <w:pStyle w:val="Heading1"/>
      </w:pPr>
      <w:r>
        <w:t>2. Contrato congelado</w:t>
      </w:r>
    </w:p>
    <w:p>
      <w:pPr>
        <w:pStyle w:val="ListBullet"/>
      </w:pPr>
      <w:r>
        <w:t>TimeStatusDetailState recibe una secuencia explicita de fuentes consumidas; la UI no descubre fuentes desde un catalogo global ni consulta Manager/Tool Configuration.</w:t>
      </w:r>
    </w:p>
    <w:p>
      <w:pPr>
        <w:pStyle w:val="ListBullet"/>
      </w:pPr>
      <w:r>
        <w:t>PI es obligatoria y constituye una fuente de control de Time Status.</w:t>
      </w:r>
    </w:p>
    <w:p>
      <w:pPr>
        <w:pStyle w:val="ListBullet"/>
      </w:pPr>
      <w:r>
        <w:t>Dispatch es opcional; cuando esta presente tambien constituye una fuente de control.</w:t>
      </w:r>
    </w:p>
    <w:p>
      <w:pPr>
        <w:pStyle w:val="ListBullet"/>
      </w:pPr>
      <w:r>
        <w:t>Cualquier otra key de fuente es informativa, incluyendo BlockGrade y fuentes futuras.</w:t>
      </w:r>
    </w:p>
    <w:p>
      <w:pPr>
        <w:pStyle w:val="ListBullet"/>
      </w:pPr>
      <w:r>
        <w:t>El rol control/informational se deriva de la key. El caller no puede configurar affects_health, control=true ni una autoridad equivalente.</w:t>
      </w:r>
    </w:p>
    <w:p>
      <w:pPr>
        <w:pStyle w:val="ListBullet"/>
      </w:pPr>
      <w:r>
        <w:t>Las keys deben ser unicas. Un Detail sin PI o con fuentes duplicadas es invalido.</w:t>
      </w:r>
    </w:p>
    <w:p>
      <w:pPr>
        <w:pStyle w:val="ListBullet"/>
      </w:pPr>
      <w:r>
        <w:t>El orden visual canonico es PI, Dispatch si existe y luego fuentes adicionales conservando su orden relativo.</w:t>
      </w:r>
    </w:p>
    <w:p>
      <w:pPr>
        <w:pStyle w:val="ListBullet"/>
      </w:pPr>
      <w:r>
        <w:t>El value de cada fila es texto opaco para TS-008: puede ser timestamp, Error u otra representacion entregada por la composicion.</w:t>
      </w:r>
    </w:p>
    <w:p>
      <w:pPr>
        <w:pStyle w:val="ListBullet"/>
      </w:pPr>
      <w:r>
        <w:t>Una fuente informativa atrasada, vacia semanticamente o con Error no modifica content-stale, data-error, blink ni el estado de componentes.</w:t>
      </w:r>
    </w:p>
    <w:p>
      <w:pPr>
        <w:pStyle w:val="ListBullet"/>
      </w:pPr>
      <w:r>
        <w:t>TS-009 queda como unico responsable de evaluar FRESH, PREVENTIVE, HARD_STALE y DATA_ERROR sobre PI/Dispatch.</w:t>
      </w:r>
    </w:p>
    <w:p>
      <w:r>
        <w:br w:type="page"/>
      </w:r>
    </w:p>
    <w:p>
      <w:pPr>
        <w:pStyle w:val="Heading1"/>
      </w:pPr>
      <w:r>
        <w:t>3. Contratos publicos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Contrato</w:t>
            </w:r>
          </w:p>
        </w:tc>
        <w:tc>
          <w:tcPr>
            <w:tcW w:type="dxa" w:w="3360"/>
          </w:tcPr>
          <w:p>
            <w:r>
              <w:t>Responsabilidad</w:t>
            </w:r>
          </w:p>
        </w:tc>
        <w:tc>
          <w:tcPr>
            <w:tcW w:type="dxa" w:w="3360"/>
          </w:tcPr>
          <w:p>
            <w:r>
              <w:t>Reglas principales</w:t>
            </w:r>
          </w:p>
        </w:tc>
      </w:tr>
      <w:tr>
        <w:tc>
          <w:tcPr>
            <w:tcW w:type="dxa" w:w="3360"/>
          </w:tcPr>
          <w:p>
            <w:r>
              <w:t>TimeStatusDetailSourceState(key, label, value)</w:t>
            </w:r>
          </w:p>
        </w:tc>
        <w:tc>
          <w:tcPr>
            <w:tcW w:type="dxa" w:w="3360"/>
          </w:tcPr>
          <w:p>
            <w:r>
              <w:t>Representa una fila consumida.</w:t>
            </w:r>
          </w:p>
        </w:tc>
        <w:tc>
          <w:tcPr>
            <w:tcW w:type="dxa" w:w="3360"/>
          </w:tcPr>
          <w:p>
            <w:r>
              <w:t>Valida texto no vacio; is_control se deriva solo para pi/dispatch.</w:t>
            </w:r>
          </w:p>
        </w:tc>
      </w:tr>
      <w:tr>
        <w:tc>
          <w:tcPr>
            <w:tcW w:type="dxa" w:w="3360"/>
          </w:tcPr>
          <w:p>
            <w:r>
              <w:t>TimeStatusDetailState(sources)</w:t>
            </w:r>
          </w:p>
        </w:tc>
        <w:tc>
          <w:tcPr>
            <w:tcW w:type="dxa" w:w="3360"/>
          </w:tcPr>
          <w:p>
            <w:r>
              <w:t>Representa el conjunto consumido por una Tool.</w:t>
            </w:r>
          </w:p>
        </w:tc>
        <w:tc>
          <w:tcPr>
            <w:tcW w:type="dxa" w:w="3360"/>
          </w:tcPr>
          <w:p>
            <w:r>
              <w:t>PI requerido; keys unicas; orden PI -&gt; Dispatch -&gt; extras.</w:t>
            </w:r>
          </w:p>
        </w:tc>
      </w:tr>
      <w:tr>
        <w:tc>
          <w:tcPr>
            <w:tcW w:type="dxa" w:w="3360"/>
          </w:tcPr>
          <w:p>
            <w:r>
              <w:t>build_time_status_detail(state)</w:t>
            </w:r>
          </w:p>
        </w:tc>
        <w:tc>
          <w:tcPr>
            <w:tcW w:type="dxa" w:w="3360"/>
          </w:tcPr>
          <w:p>
            <w:r>
              <w:t>Renderiza las filas del Detail.</w:t>
            </w:r>
          </w:p>
        </w:tc>
        <w:tc>
          <w:tcPr>
            <w:tcW w:type="dxa" w:w="3360"/>
          </w:tcPr>
          <w:p>
            <w:r>
              <w:t>Publica source-key y source-role; no interpreta freshness.</w:t>
            </w:r>
          </w:p>
        </w:tc>
      </w:tr>
    </w:tbl>
    <w:p>
      <w:pPr>
        <w:pStyle w:val="Heading1"/>
      </w:pPr>
      <w:r>
        <w:t>4. Frontera de autoridad operacional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Fuente</w:t>
            </w:r>
          </w:p>
        </w:tc>
        <w:tc>
          <w:tcPr>
            <w:tcW w:type="dxa" w:w="2520"/>
          </w:tcPr>
          <w:p>
            <w:r>
              <w:t>Presencia</w:t>
            </w:r>
          </w:p>
        </w:tc>
        <w:tc>
          <w:tcPr>
            <w:tcW w:type="dxa" w:w="2520"/>
          </w:tcPr>
          <w:p>
            <w:r>
              <w:t>Rol</w:t>
            </w:r>
          </w:p>
        </w:tc>
        <w:tc>
          <w:tcPr>
            <w:tcW w:type="dxa" w:w="2520"/>
          </w:tcPr>
          <w:p>
            <w:r>
              <w:t>Puede afectar Time Status</w:t>
            </w:r>
          </w:p>
        </w:tc>
      </w:tr>
      <w:tr>
        <w:tc>
          <w:tcPr>
            <w:tcW w:type="dxa" w:w="2520"/>
          </w:tcPr>
          <w:p>
            <w:r>
              <w:t>PI</w:t>
            </w:r>
          </w:p>
        </w:tc>
        <w:tc>
          <w:tcPr>
            <w:tcW w:type="dxa" w:w="2520"/>
          </w:tcPr>
          <w:p>
            <w:r>
              <w:t>Siempre</w:t>
            </w:r>
          </w:p>
        </w:tc>
        <w:tc>
          <w:tcPr>
            <w:tcW w:type="dxa" w:w="2520"/>
          </w:tcPr>
          <w:p>
            <w:r>
              <w:t>control</w:t>
            </w:r>
          </w:p>
        </w:tc>
        <w:tc>
          <w:tcPr>
            <w:tcW w:type="dxa" w:w="2520"/>
          </w:tcPr>
          <w:p>
            <w:r>
              <w:t>Si, a partir de TS-009.</w:t>
            </w:r>
          </w:p>
        </w:tc>
      </w:tr>
      <w:tr>
        <w:tc>
          <w:tcPr>
            <w:tcW w:type="dxa" w:w="2520"/>
          </w:tcPr>
          <w:p>
            <w:r>
              <w:t>Dispatch</w:t>
            </w:r>
          </w:p>
        </w:tc>
        <w:tc>
          <w:tcPr>
            <w:tcW w:type="dxa" w:w="2520"/>
          </w:tcPr>
          <w:p>
            <w:r>
              <w:t>Solo si se consume</w:t>
            </w:r>
          </w:p>
        </w:tc>
        <w:tc>
          <w:tcPr>
            <w:tcW w:type="dxa" w:w="2520"/>
          </w:tcPr>
          <w:p>
            <w:r>
              <w:t>control</w:t>
            </w:r>
          </w:p>
        </w:tc>
        <w:tc>
          <w:tcPr>
            <w:tcW w:type="dxa" w:w="2520"/>
          </w:tcPr>
          <w:p>
            <w:r>
              <w:t>Si, a partir de TS-009.</w:t>
            </w:r>
          </w:p>
        </w:tc>
      </w:tr>
      <w:tr>
        <w:tc>
          <w:tcPr>
            <w:tcW w:type="dxa" w:w="2520"/>
          </w:tcPr>
          <w:p>
            <w:r>
              <w:t>BlockGrade / otras</w:t>
            </w:r>
          </w:p>
        </w:tc>
        <w:tc>
          <w:tcPr>
            <w:tcW w:type="dxa" w:w="2520"/>
          </w:tcPr>
          <w:p>
            <w:r>
              <w:t>Solo si se consumen</w:t>
            </w:r>
          </w:p>
        </w:tc>
        <w:tc>
          <w:tcPr>
            <w:tcW w:type="dxa" w:w="2520"/>
          </w:tcPr>
          <w:p>
            <w:r>
              <w:t>informational</w:t>
            </w:r>
          </w:p>
        </w:tc>
        <w:tc>
          <w:tcPr>
            <w:tcW w:type="dxa" w:w="2520"/>
          </w:tcPr>
          <w:p>
            <w:r>
              <w:t>No. Solo se muestran.</w:t>
            </w:r>
          </w:p>
        </w:tc>
      </w:tr>
    </w:tbl>
    <w:p>
      <w:r>
        <w:t>Ejemplo de invariancia: PI=Fresh, Dispatch=Fresh y BlockGrade=Error debe mantener saludable el Summary. El texto Error se muestra en la fila BlockGrade, pero no tiene autoridad para marcar contenido stale ni generar alerta.</w:t>
      </w:r>
    </w:p>
    <w:p>
      <w:pPr>
        <w:pStyle w:val="Heading1"/>
      </w:pPr>
      <w:r>
        <w:t>5. Frontera de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TS-008 incluye</w:t>
            </w:r>
          </w:p>
        </w:tc>
        <w:tc>
          <w:tcPr>
            <w:tcW w:type="dxa" w:w="5040"/>
          </w:tcPr>
          <w:p>
            <w:r>
              <w:t>TS-008 no incluye</w:t>
            </w:r>
          </w:p>
        </w:tc>
      </w:tr>
      <w:tr>
        <w:tc>
          <w:tcPr>
            <w:tcW w:type="dxa" w:w="5040"/>
          </w:tcPr>
          <w:p>
            <w:r>
              <w:t>Contrato explicito de fuentes consumidas</w:t>
            </w:r>
          </w:p>
        </w:tc>
        <w:tc>
          <w:tcPr>
            <w:tcW w:type="dxa" w:w="5040"/>
          </w:tcPr>
          <w:p>
            <w:r>
              <w:t>Lectura directa de Tool Configuration / Manager</w:t>
            </w:r>
          </w:p>
        </w:tc>
      </w:tr>
      <w:tr>
        <w:tc>
          <w:tcPr>
            <w:tcW w:type="dxa" w:w="5040"/>
          </w:tcPr>
          <w:p>
            <w:r>
              <w:t>PI obligatoria y Dispatch opcional</w:t>
            </w:r>
          </w:p>
        </w:tc>
        <w:tc>
          <w:tcPr>
            <w:tcW w:type="dxa" w:w="5040"/>
          </w:tcPr>
          <w:p>
            <w:r>
              <w:t>Catalogo global de fuentes</w:t>
            </w:r>
          </w:p>
        </w:tc>
      </w:tr>
      <w:tr>
        <w:tc>
          <w:tcPr>
            <w:tcW w:type="dxa" w:w="5040"/>
          </w:tcPr>
          <w:p>
            <w:r>
              <w:t>Extras informativas genericas</w:t>
            </w:r>
          </w:p>
        </w:tc>
        <w:tc>
          <w:tcPr>
            <w:tcW w:type="dxa" w:w="5040"/>
          </w:tcPr>
          <w:p>
            <w:r>
              <w:t>Freshness temporal</w:t>
            </w:r>
          </w:p>
        </w:tc>
      </w:tr>
      <w:tr>
        <w:tc>
          <w:tcPr>
            <w:tcW w:type="dxa" w:w="5040"/>
          </w:tcPr>
          <w:p>
            <w:r>
              <w:t>Orden canonico de filas</w:t>
            </w:r>
          </w:p>
        </w:tc>
        <w:tc>
          <w:tcPr>
            <w:tcW w:type="dxa" w:w="5040"/>
          </w:tcPr>
          <w:p>
            <w:r>
              <w:t>Blink / stale de componentes</w:t>
            </w:r>
          </w:p>
        </w:tc>
      </w:tr>
      <w:tr>
        <w:tc>
          <w:tcPr>
            <w:tcW w:type="dxa" w:w="5040"/>
          </w:tcPr>
          <w:p>
            <w:r>
              <w:t>Marcadores DOM source-key/source-role</w:t>
            </w:r>
          </w:p>
        </w:tc>
        <w:tc>
          <w:tcPr>
            <w:tcW w:type="dxa" w:w="5040"/>
          </w:tcPr>
          <w:p>
            <w:r>
              <w:t>Collector / Store Adapter wiring real</w:t>
            </w:r>
          </w:p>
        </w:tc>
      </w:tr>
      <w:tr>
        <w:tc>
          <w:tcPr>
            <w:tcW w:type="dxa" w:w="5040"/>
          </w:tcPr>
          <w:p>
            <w:r>
              <w:t>Render de valores opacos</w:t>
            </w:r>
          </w:p>
        </w:tc>
        <w:tc>
          <w:tcPr>
            <w:tcW w:type="dxa" w:w="5040"/>
          </w:tcPr>
          <w:p>
            <w:r>
              <w:t>Interpretacion de Error/Missing/Invalid</w:t>
            </w:r>
          </w:p>
        </w:tc>
      </w:tr>
    </w:tbl>
    <w:p>
      <w:pPr>
        <w:pStyle w:val="Heading1"/>
      </w:pPr>
      <w:r>
        <w:t>6. Decisiones arquitectonicas</w:t>
      </w:r>
    </w:p>
    <w:p>
      <w:r>
        <w:t>D-TS-038 - Control-source authority</w:t>
        <w:br/>
        <w:t>La autoridad operacional no es configurable por fila. Solo las keys pi y dispatch se consideran control. Esto impide que BlockGrade u otra fuente futura adquiera efectos de salud por una mala configuracion del caller.</w:t>
      </w:r>
    </w:p>
    <w:p>
      <w:r>
        <w:t>D-TS-039 - Explicit detail consumption boundary</w:t>
        <w:br/>
        <w:t>ada-web-ui-time-status recibe una lista ya resuelta de fuentes consumidas. La capability no importa contratos del Manager ni conoce como SharePoint, Configuration Projection u otra capa determina ese consumo. La resolucion real queda fuera de TS-008 y sera conectada posteriormente sin contaminar la presentacion.</w:t>
      </w:r>
    </w:p>
    <w:p>
      <w:pPr>
        <w:pStyle w:val="Heading1"/>
      </w:pPr>
      <w:r>
        <w:t>7. DOM del Detail</w:t>
      </w:r>
    </w:p>
    <w:p>
      <w:r>
        <w:t>Cada fila renderizada publica data-ada-time-status-detail-source="true", data-source-key y data-source-role. Los valores posibles de data-source-role son control e informational. No se agregan selectores visuales especiales para una fuente informativa en error ni animaciones nuevas.</w:t>
      </w:r>
    </w:p>
    <w:p>
      <w:pPr>
        <w:pStyle w:val="Heading1"/>
      </w:pPr>
      <w:r>
        <w:t>8. Archivos modificados</w:t>
      </w:r>
    </w:p>
    <w:p>
      <w:pPr>
        <w:pStyle w:val="ListBullet"/>
      </w:pPr>
      <w:r>
        <w:t>scopes/ada/web/ui/time-status/pyproject.toml</w:t>
      </w:r>
    </w:p>
    <w:p>
      <w:pPr>
        <w:pStyle w:val="ListBullet"/>
      </w:pPr>
      <w:r>
        <w:t>scopes/ada/web/ui/time-status/uv.lock</w:t>
      </w:r>
    </w:p>
    <w:p>
      <w:pPr>
        <w:pStyle w:val="ListBullet"/>
      </w:pPr>
      <w:r>
        <w:t>scopes/ada/web/ui/time-status/src/ada/web/ui/time_status/__init__.py</w:t>
      </w:r>
    </w:p>
    <w:p>
      <w:pPr>
        <w:pStyle w:val="ListBullet"/>
      </w:pPr>
      <w:r>
        <w:t>scopes/ada/web/ui/time-status/src/ada/web/ui/time_status/models.py</w:t>
      </w:r>
    </w:p>
    <w:p>
      <w:pPr>
        <w:pStyle w:val="ListBullet"/>
      </w:pPr>
      <w:r>
        <w:t>scopes/ada/web/ui/time-status/src/ada/web/ui/time_status/presentation.py</w:t>
      </w:r>
    </w:p>
    <w:p>
      <w:pPr>
        <w:pStyle w:val="ListBullet"/>
      </w:pPr>
      <w:r>
        <w:t>scopes/ada/web/ui/time-status/src/ada/web/ui/time_status/resources/css/10-time-status.css</w:t>
      </w:r>
    </w:p>
    <w:p>
      <w:pPr>
        <w:pStyle w:val="ListBullet"/>
      </w:pPr>
      <w:r>
        <w:t>scopes/ada/web/ui/time-status/tests/test_models.py</w:t>
      </w:r>
    </w:p>
    <w:p>
      <w:pPr>
        <w:pStyle w:val="ListBullet"/>
      </w:pPr>
      <w:r>
        <w:t>scopes/ada/web/ui/time-status/tests/test_presentation.py</w:t>
      </w:r>
    </w:p>
    <w:p>
      <w:pPr>
        <w:pStyle w:val="ListBullet"/>
      </w:pPr>
      <w:r>
        <w:t>scopes/ada/web/ui/time-status/tests/test_assets.py</w:t>
      </w:r>
    </w:p>
    <w:p>
      <w:r>
        <w:t>Se actualizan los espejos pedagogicos equivalentes de los archivos productivos modificados. No cambia JavaScript, Store Adapter, Header, Generic Application ni Tool Configuration.</w:t>
      </w:r>
    </w:p>
    <w:p>
      <w:pPr>
        <w:pStyle w:val="Heading1"/>
      </w:pPr>
      <w:r>
        <w:t>9. Pruebas TS-008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Contrato</w:t>
            </w:r>
          </w:p>
        </w:tc>
        <w:tc>
          <w:tcPr>
            <w:tcW w:type="dxa" w:w="3360"/>
          </w:tcPr>
          <w:p>
            <w:r>
              <w:t>Resultado esperado</w:t>
            </w:r>
          </w:p>
        </w:tc>
      </w:tr>
      <w:tr>
        <w:tc>
          <w:tcPr>
            <w:tcW w:type="dxa" w:w="3360"/>
          </w:tcPr>
          <w:p>
            <w:r>
              <w:t>TS8-T01</w:t>
            </w:r>
          </w:p>
        </w:tc>
        <w:tc>
          <w:tcPr>
            <w:tcW w:type="dxa" w:w="3360"/>
          </w:tcPr>
          <w:p>
            <w:r>
              <w:t>PI required</w:t>
            </w:r>
          </w:p>
        </w:tc>
        <w:tc>
          <w:tcPr>
            <w:tcW w:type="dxa" w:w="3360"/>
          </w:tcPr>
          <w:p>
            <w:r>
              <w:t>Un Detail sin PI es rechazado.</w:t>
            </w:r>
          </w:p>
        </w:tc>
      </w:tr>
      <w:tr>
        <w:tc>
          <w:tcPr>
            <w:tcW w:type="dxa" w:w="3360"/>
          </w:tcPr>
          <w:p>
            <w:r>
              <w:t>TS8-T02</w:t>
            </w:r>
          </w:p>
        </w:tc>
        <w:tc>
          <w:tcPr>
            <w:tcW w:type="dxa" w:w="3360"/>
          </w:tcPr>
          <w:p>
            <w:r>
              <w:t>Unique source keys</w:t>
            </w:r>
          </w:p>
        </w:tc>
        <w:tc>
          <w:tcPr>
            <w:tcW w:type="dxa" w:w="3360"/>
          </w:tcPr>
          <w:p>
            <w:r>
              <w:t>No se aceptan dos filas con la misma key.</w:t>
            </w:r>
          </w:p>
        </w:tc>
      </w:tr>
      <w:tr>
        <w:tc>
          <w:tcPr>
            <w:tcW w:type="dxa" w:w="3360"/>
          </w:tcPr>
          <w:p>
            <w:r>
              <w:t>TS8-T03</w:t>
            </w:r>
          </w:p>
        </w:tc>
        <w:tc>
          <w:tcPr>
            <w:tcW w:type="dxa" w:w="3360"/>
          </w:tcPr>
          <w:p>
            <w:r>
              <w:t>Canonical ordering</w:t>
            </w:r>
          </w:p>
        </w:tc>
        <w:tc>
          <w:tcPr>
            <w:tcW w:type="dxa" w:w="3360"/>
          </w:tcPr>
          <w:p>
            <w:r>
              <w:t>PI primero, Dispatch segundo si existe, extras despues.</w:t>
            </w:r>
          </w:p>
        </w:tc>
      </w:tr>
      <w:tr>
        <w:tc>
          <w:tcPr>
            <w:tcW w:type="dxa" w:w="3360"/>
          </w:tcPr>
          <w:p>
            <w:r>
              <w:t>TS8-T04</w:t>
            </w:r>
          </w:p>
        </w:tc>
        <w:tc>
          <w:tcPr>
            <w:tcW w:type="dxa" w:w="3360"/>
          </w:tcPr>
          <w:p>
            <w:r>
              <w:t>Derived authority</w:t>
            </w:r>
          </w:p>
        </w:tc>
        <w:tc>
          <w:tcPr>
            <w:tcW w:type="dxa" w:w="3360"/>
          </w:tcPr>
          <w:p>
            <w:r>
              <w:t>Solo pi/dispatch exponen role=control.</w:t>
            </w:r>
          </w:p>
        </w:tc>
      </w:tr>
      <w:tr>
        <w:tc>
          <w:tcPr>
            <w:tcW w:type="dxa" w:w="3360"/>
          </w:tcPr>
          <w:p>
            <w:r>
              <w:t>TS8-T05</w:t>
            </w:r>
          </w:p>
        </w:tc>
        <w:tc>
          <w:tcPr>
            <w:tcW w:type="dxa" w:w="3360"/>
          </w:tcPr>
          <w:p>
            <w:r>
              <w:t>Consumed-only rendering</w:t>
            </w:r>
          </w:p>
        </w:tc>
        <w:tc>
          <w:tcPr>
            <w:tcW w:type="dxa" w:w="3360"/>
          </w:tcPr>
          <w:p>
            <w:r>
              <w:t>Solo se renderizan las fuentes incluidas en el estado.</w:t>
            </w:r>
          </w:p>
        </w:tc>
      </w:tr>
      <w:tr>
        <w:tc>
          <w:tcPr>
            <w:tcW w:type="dxa" w:w="3360"/>
          </w:tcPr>
          <w:p>
            <w:r>
              <w:t>TS8-T06</w:t>
            </w:r>
          </w:p>
        </w:tc>
        <w:tc>
          <w:tcPr>
            <w:tcW w:type="dxa" w:w="3360"/>
          </w:tcPr>
          <w:p>
            <w:r>
              <w:t>PI-only Tool</w:t>
            </w:r>
          </w:p>
        </w:tc>
        <w:tc>
          <w:tcPr>
            <w:tcW w:type="dxa" w:w="3360"/>
          </w:tcPr>
          <w:p>
            <w:r>
              <w:t>No se inventa una fila Dispatch.</w:t>
            </w:r>
          </w:p>
        </w:tc>
      </w:tr>
      <w:tr>
        <w:tc>
          <w:tcPr>
            <w:tcW w:type="dxa" w:w="3360"/>
          </w:tcPr>
          <w:p>
            <w:r>
              <w:t>TS8-T07</w:t>
            </w:r>
          </w:p>
        </w:tc>
        <w:tc>
          <w:tcPr>
            <w:tcW w:type="dxa" w:w="3360"/>
          </w:tcPr>
          <w:p>
            <w:r>
              <w:t>Informational error neutrality</w:t>
            </w:r>
          </w:p>
        </w:tc>
        <w:tc>
          <w:tcPr>
            <w:tcW w:type="dxa" w:w="3360"/>
          </w:tcPr>
          <w:p>
            <w:r>
              <w:t>BlockGrade=Error se muestra pero no altera stale/data-error del Summary.</w:t>
            </w:r>
          </w:p>
        </w:tc>
      </w:tr>
    </w:tbl>
    <w:p>
      <w:pPr>
        <w:pStyle w:val="Heading1"/>
      </w:pPr>
      <w:r>
        <w:t>10. Validacion previa realizada</w:t>
      </w:r>
    </w:p>
    <w:p>
      <w:pPr>
        <w:pStyle w:val="ListBullet"/>
      </w:pPr>
      <w:r>
        <w:t>Harness logico local: 39/39 tests PASS usando stubs minimos para ejecutar la capability en el entorno disponible.</w:t>
      </w:r>
    </w:p>
    <w:p>
      <w:pPr>
        <w:pStyle w:val="ListBullet"/>
      </w:pPr>
      <w:r>
        <w:t>Python compileall sobre src, tests y commented: PASS.</w:t>
      </w:r>
    </w:p>
    <w:p>
      <w:pPr>
        <w:pStyle w:val="ListBullet"/>
      </w:pPr>
      <w:r>
        <w:t>Validacion de espejos productivo/comentado mediante validate_mirrors.py: PASS.</w:t>
      </w:r>
    </w:p>
    <w:p>
      <w:pPr>
        <w:pStyle w:val="ListBullet"/>
      </w:pPr>
      <w:r>
        <w:t>Instalacion simulada desde Time Status 0.1.4: PASS.</w:t>
      </w:r>
    </w:p>
    <w:p>
      <w:pPr>
        <w:pStyle w:val="ListBullet"/>
      </w:pPr>
      <w:r>
        <w:t>Rollback forzado del instalador: PASS.</w:t>
      </w:r>
    </w:p>
    <w:p>
      <w:pPr>
        <w:pStyle w:val="ListBullet"/>
      </w:pPr>
      <w:r>
        <w:t>Preestado con diferencia solo de formato Python: aceptado mediante equivalencia AST.</w:t>
      </w:r>
    </w:p>
    <w:p>
      <w:pPr>
        <w:pStyle w:val="ListBullet"/>
      </w:pPr>
      <w:r>
        <w:t>Preestado con cambio semantico Python: rechazado.</w:t>
      </w:r>
    </w:p>
    <w:p>
      <w:pPr>
        <w:pStyle w:val="ListBullet"/>
      </w:pPr>
      <w:r>
        <w:t>bash -n y ZIP hygiene del instalador: PASS.</w:t>
      </w:r>
    </w:p>
    <w:p>
      <w:r>
        <w:t>El entorno de preparacion no reproduce el runtime autoritativo Python 3.14.2 + UV con todas las dependencias del repositorio. Por eso el gate ejecutado en el repositorio del usuario sigue siendo la evidencia de cierre.</w:t>
      </w:r>
    </w:p>
    <w:p>
      <w:pPr>
        <w:pStyle w:val="Heading1"/>
      </w:pPr>
      <w:r>
        <w:t>11. Supuestos y elementos pendientes</w:t>
      </w:r>
    </w:p>
    <w:p>
      <w:pPr>
        <w:pStyle w:val="ListBullet"/>
      </w:pPr>
      <w:r>
        <w:t>Las source keys llegan normalizadas al contrato Web; TS-008 no define alias ni canonicalizacion de nombres fisicos.</w:t>
      </w:r>
    </w:p>
    <w:p>
      <w:pPr>
        <w:pStyle w:val="ListBullet"/>
      </w:pPr>
      <w:r>
        <w:t>La capa que transforma Tool Configuration en la lista consumida aun no esta conectada en esta capability; esa frontera debe conservarse fuera de presentation.</w:t>
      </w:r>
    </w:p>
    <w:p>
      <w:pPr>
        <w:pStyle w:val="ListBullet"/>
      </w:pPr>
      <w:r>
        <w:t>La forma fisica definitiva del dato proveniente de Collector/Store Adapter no se congela en TS-008.</w:t>
      </w:r>
    </w:p>
    <w:p>
      <w:pPr>
        <w:pStyle w:val="ListBullet"/>
      </w:pPr>
      <w:r>
        <w:t>build_time_status conserva el contrato de TS-005 que admite un Component de Detail inyectado. La integracion real debera utilizar build_time_status_detail para obtener estas garantias.</w:t>
      </w:r>
    </w:p>
    <w:p>
      <w:pPr>
        <w:pStyle w:val="ListBullet"/>
      </w:pPr>
      <w:r>
        <w:t>TS-008 no valida coherencia cruzada entre un Summary arbitrariamente construido y un Detail arbitrariamente inyectado; esa composicion corresponde a la capa consumidora.</w:t>
      </w:r>
    </w:p>
    <w:p>
      <w:pPr>
        <w:pStyle w:val="Heading1"/>
      </w:pPr>
      <w:r>
        <w:t>12. Gate autoritativo y condicion de cierre</w:t>
      </w:r>
    </w:p>
    <w:p>
      <w:r>
        <w:t>El instalador exige ada-web-ui-time-status 0.1.4 y apunta a 0.1.5. Valida el preestado, ejecuta los checks existentes de JavaScript y luego bash scripts/scopes/ada/check.sh time-status. Se esperan 39 passed. TS-008 podra marcarse CERRADO cuando ese gate resulte verde en Python 3.14.2 + UV sin findings del contrato de consumo o de neutralidad de fuentes informativas.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