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TS-012B — Visual Polish Corrective</w:t>
      </w:r>
    </w:p>
    <w:p>
      <w:r>
        <w:t>Atlanticus / ADA · Time Status · Contract v1.0.0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7920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Fecha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 de agosto de 2026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Estado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 VALIDACIÓN — corrective preparado, gate autoritativo pendiente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 Status 0.1.9 · Header 0.1.3 · Generic Application 0.1.27 · Preview 0.1.2</w:t>
            </w:r>
          </w:p>
        </w:tc>
      </w:tr>
    </w:tbl>
    <w:p/>
    <w:p>
      <w:pPr>
        <w:pStyle w:val="Heading1"/>
      </w:pPr>
      <w:r>
        <w:t>1. Objetivo</w:t>
      </w:r>
    </w:p>
    <w:p>
      <w:r>
        <w:t>Cerrar el segundo ciclo de calibración visual de TS-012 sin ampliar el alcance hacia Content State. TS-012B corrige interacción, densidad, semántica de DATA_ERROR y contenido del popover, manteniendo las fronteras arquitectónicas ya validadas: PI/Dispatch como fuentes de control, fuentes adicionales informativas y Detail local sin modal, portal ni reflow.</w:t>
      </w:r>
    </w:p>
    <w:p>
      <w:pPr>
        <w:pStyle w:val="Heading1"/>
      </w:pPr>
      <w:r>
        <w:t>2. Findings de la segunda revisión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952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Finding</w:t>
            </w:r>
          </w:p>
        </w:tc>
        <w:tc>
          <w:tcPr>
            <w:tcW w:type="dxa" w:w="698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Corrección acordada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Affordance demasiado grande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borde visible aparece solo en hover/focus y se ajusta al ancho real de PI o PI+Dispatch.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Fecha y hora demasiado separadas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Label y valor temporal se compactan como una sola unidad visual a la derecha.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DATA_ERROR confunde fuente y resultado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nube tachada permanece como icono de fuente; el triángulo representa el resultado temporal con error.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Error podría bloquear inspección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PI/Dispatch continúan abriendo el popover aun cuando una fuente está en DATA_ERROR.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Tooltips nativos ensucian la UI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eliminan atributos title; accesibilidad se conserva con role, teclado y aria-label.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Surface dark demasiado pesada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popover usa el mismo color base del strip/Header, separado por borde y sombra sutil.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PREVENTIVE poco perceptible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aumenta contraste y ritmo del pulso; HARD_STALE y DATA_ERROR permanecen rojos estables.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Popover sin extras ambiguo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agrega empty-state explícito para Tools que no consumen fuentes adicionales.</w:t>
            </w:r>
          </w:p>
        </w:tc>
      </w:tr>
    </w:tbl>
    <w:p/>
    <w:p>
      <w:pPr>
        <w:pStyle w:val="Heading1"/>
      </w:pPr>
      <w:r>
        <w:t>3. Frontera interactiva</w:t>
      </w:r>
    </w:p>
    <w:p>
      <w:pPr>
        <w:pStyle w:val="ListBullet"/>
      </w:pPr>
      <w:r>
        <w:t>PI/Dispatch permanecen a la izquierda y forman el único trigger del Detail.</w:t>
      </w:r>
    </w:p>
    <w:p>
      <w:pPr>
        <w:pStyle w:val="ListBullet"/>
      </w:pPr>
      <w:r>
        <w:t>El trigger conserva click, Enter y Space; Fecha y hora permanece fuera del trigger y no es interactiva.</w:t>
      </w:r>
    </w:p>
    <w:p>
      <w:pPr>
        <w:pStyle w:val="ListBullet"/>
      </w:pPr>
      <w:r>
        <w:t>En reposo el borde del trigger es transparente. Hover/focus hace visible la affordance sin extenderla a todo el strip.</w:t>
      </w:r>
    </w:p>
    <w:p>
      <w:pPr>
        <w:pStyle w:val="ListBullet"/>
      </w:pPr>
      <w:r>
        <w:t>No se usan title nativos. El propósito del control se expone mediante aria-label y semántica accesible.</w:t>
      </w:r>
    </w:p>
    <w:p>
      <w:pPr>
        <w:pStyle w:val="ListBullet"/>
      </w:pPr>
      <w:r>
        <w:t>DATA_ERROR no deshabilita el trigger: inspeccionar fuentes adicionales sigue disponible.</w:t>
      </w:r>
    </w:p>
    <w:p>
      <w:pPr>
        <w:pStyle w:val="Heading1"/>
      </w:pPr>
      <w:r>
        <w:t>4. Contrato del Detail: sólo fuentes adicionales</w:t>
      </w:r>
    </w:p>
    <w:p>
      <w:r>
        <w:t>TS-012B reemplaza la presentación anterior donde PI/Dispatch podían repetirse dentro del popover. El Summary ya contiene las fuentes de control; el Detail amplía únicamente con fuentes adicionales. Por contrato, TimeStatusDetailSourceState rechaza las keys pi y dispatch.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8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Situación</w:t>
            </w:r>
          </w:p>
        </w:tc>
        <w:tc>
          <w:tcPr>
            <w:tcW w:type="dxa" w:w="6552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Presentación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 Tool no consume fuentes adicionales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Fuentes adicionales · Sin fuentes adicionales · Esta herramienta no consume fuentes de datos adicionales.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 adicional configurada y con dato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muestra una fila informativa con label y valor temporal/dato recibido.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 adicional configurada sin dato temporal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comunica “Sin información temporal disponible”.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 adicional con Error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muestra Error como información; no modifica freshness, parpadeo ni stale global.</w:t>
            </w:r>
          </w:p>
        </w:tc>
      </w:tr>
    </w:tbl>
    <w:p/>
    <w:p>
      <w:pPr>
        <w:pStyle w:val="AtlanticusCode"/>
      </w:pPr>
      <w:r>
        <w:t>PI / Dispatch (Summary + trigger)</w:t>
        <w:br/>
      </w:r>
      <w:r>
        <w:t xml:space="preserve">        ↓ click / keyboard</w:t>
        <w:br/>
      </w:r>
      <w:r>
        <w:t>Detail Surface</w:t>
        <w:br/>
      </w:r>
      <w:r>
        <w:t>├─ fuentes adicionales consumidas</w:t>
        <w:br/>
      </w:r>
      <w:r>
        <w:t>└─ o empty-state explícito</w:t>
      </w:r>
    </w:p>
    <w:p>
      <w:pPr>
        <w:pStyle w:val="Heading1"/>
      </w:pPr>
      <w:r>
        <w:t>5. DATA_ERROR y lectura visual</w:t>
      </w:r>
    </w:p>
    <w:p>
      <w:r>
        <w:t>La identidad visual de la fuente y la calidad del resultado temporal se representan por separado. Esto recupera la lectura del legacy sin convertir el error temporal en una prohibición de interacción.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6912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DATA_ERROR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Icono de fuente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 bi-cloud-slash a la izquierda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Resultado temporal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 bi-exclamation-triangle en la posición del 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Color de cápsula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Rojo estable #c82333 con texto blanco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Popover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Permanece disponible</w:t>
            </w:r>
          </w:p>
        </w:tc>
      </w:tr>
    </w:tbl>
    <w:p/>
    <w:p>
      <w:pPr>
        <w:pStyle w:val="Heading1"/>
      </w:pPr>
      <w:r>
        <w:t>6. Superficie y estados de freshness</w:t>
      </w:r>
    </w:p>
    <w:p>
      <w:pPr>
        <w:pStyle w:val="ListBullet"/>
      </w:pPr>
      <w:r>
        <w:t>FRESH: geometría estable, sin color crítico.</w:t>
      </w:r>
    </w:p>
    <w:p>
      <w:pPr>
        <w:pStyle w:val="ListBullet"/>
      </w:pPr>
      <w:r>
        <w:t>PREVENTIVE: cápsula completa roja pulsante con mayor contraste; ciclo visual aproximado de 1.35 s.</w:t>
      </w:r>
    </w:p>
    <w:p>
      <w:pPr>
        <w:pStyle w:val="ListBullet"/>
      </w:pPr>
      <w:r>
        <w:t>HARD_STALE: cápsula completa roja estable.</w:t>
      </w:r>
    </w:p>
    <w:p>
      <w:pPr>
        <w:pStyle w:val="ListBullet"/>
      </w:pPr>
      <w:r>
        <w:t>DATA_ERROR: cápsula completa roja estable, con separación icono-fuente / resultado-error.</w:t>
      </w:r>
    </w:p>
    <w:p>
      <w:pPr>
        <w:pStyle w:val="ListBullet"/>
      </w:pPr>
      <w:r>
        <w:t>Fuentes adicionales: siempre informativas; no adoptan freshness operacional por el hecho de aparecer en el Detail.</w:t>
      </w:r>
    </w:p>
    <w:p>
      <w:pPr>
        <w:pStyle w:val="ListBullet"/>
      </w:pPr>
      <w:r>
        <w:t>Surface: mismo fondo base del Header/strip, borde y sombra sutil; se descarta dark-color.</w:t>
      </w:r>
    </w:p>
    <w:p>
      <w:pPr>
        <w:pStyle w:val="Heading1"/>
      </w:pPr>
      <w:r>
        <w:t>7. Versiones y dependencias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608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Capability</w:t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Antes</w:t>
            </w:r>
          </w:p>
        </w:tc>
        <w:tc>
          <w:tcPr>
            <w:tcW w:type="dxa" w:w="3096"/>
            <w:vAlign w:val="center"/>
            <w:shd w:fill="D9E2F3"/>
          </w:tcPr>
          <w:p>
            <w:pPr>
              <w:spacing w:after="0"/>
            </w:pPr>
            <w:r/>
            <w:r>
              <w:rPr>
                <w:b/>
              </w:rPr>
              <w:t>Después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ada-web-ui-time-status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0.1.8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0.1.9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ada-web-shell-header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0.1.3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0.1.3 (sin cambio)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ada-generic-application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0.1.26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0.1.27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ada-web-time-status-preview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0.1.1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0.1.2</w:t>
            </w:r>
          </w:p>
        </w:tc>
      </w:tr>
    </w:tbl>
    <w:p/>
    <w:p>
      <w:r>
        <w:t>Generic Application y Preview cambian únicamente para mantener pins exactos y fixtures acordes al nuevo contrato. Header no cambia en TS-012B.</w:t>
      </w:r>
    </w:p>
    <w:p>
      <w:pPr>
        <w:pStyle w:val="Heading1"/>
      </w:pPr>
      <w:r>
        <w:t>8. Gate técnico</w:t>
      </w:r>
    </w:p>
    <w:p>
      <w:r>
        <w:t>El installer exige el preestado TS-012A validado, regenera locks con UV + Python 3.14.2, mantiene igualdad de versiones registry y ejecuta los gates de Time Status, Generic Application y Preview. No distribuye locks prefabricados.</w:t>
      </w:r>
    </w:p>
    <w:p>
      <w:pPr>
        <w:pStyle w:val="ListBullet"/>
      </w:pPr>
      <w:r>
        <w:t>Full Time Status harness local: 80/80 PASS.</w:t>
      </w:r>
    </w:p>
    <w:p>
      <w:pPr>
        <w:pStyle w:val="ListBullet"/>
      </w:pPr>
      <w:r>
        <w:t>Python compileall: PASS.</w:t>
      </w:r>
    </w:p>
    <w:p>
      <w:pPr>
        <w:pStyle w:val="ListBullet"/>
      </w:pPr>
      <w:r>
        <w:t>node --check para clock y detail controller: PASS.</w:t>
      </w:r>
    </w:p>
    <w:p>
      <w:pPr>
        <w:pStyle w:val="ListBullet"/>
      </w:pPr>
      <w:r>
        <w:t>Espejos productivo/comentado: PASS.</w:t>
      </w:r>
    </w:p>
    <w:p>
      <w:pPr>
        <w:pStyle w:val="ListBullet"/>
      </w:pPr>
      <w:r>
        <w:t>Baseline installer: 0 mismatches contra el preestado reconstruido.</w:t>
      </w:r>
    </w:p>
    <w:p>
      <w:pPr>
        <w:pStyle w:val="ListBullet"/>
      </w:pPr>
      <w:r>
        <w:t>Rollback forzado: 19 archivos/locks restaurados byte-for-byte.</w:t>
      </w:r>
    </w:p>
    <w:p>
      <w:pPr>
        <w:pStyle w:val="ListBullet"/>
      </w:pPr>
      <w:r>
        <w:t>Gate autoritativo Python 3.14.2 + UV del repositorio del usuario: pendiente.</w:t>
      </w:r>
    </w:p>
    <w:p>
      <w:pPr>
        <w:pStyle w:val="Heading1"/>
      </w:pPr>
      <w:r>
        <w:t>9. Revalidación visual</w:t>
      </w:r>
    </w:p>
    <w:p>
      <w:pPr>
        <w:pStyle w:val="ListBullet"/>
      </w:pPr>
      <w:r>
        <w:t>01/02 — PI-only y PI+Dispatch sin fuentes adicionales: el popover abre y muestra el empty-state explícito.</w:t>
      </w:r>
    </w:p>
    <w:p>
      <w:pPr>
        <w:pStyle w:val="ListBullet"/>
      </w:pPr>
      <w:r>
        <w:t>03 — Detail poblado: sólo BlockGrade u otras fuentes adicionales aparecen dentro; PI/Dispatch no se duplican.</w:t>
      </w:r>
    </w:p>
    <w:p>
      <w:pPr>
        <w:pStyle w:val="ListBullet"/>
      </w:pPr>
      <w:r>
        <w:t>04/05 — PREVENTIVE debe pulsar con énfasis suficiente; HARD_STALE debe permanecer rojo estable.</w:t>
      </w:r>
    </w:p>
    <w:p>
      <w:pPr>
        <w:pStyle w:val="ListBullet"/>
      </w:pPr>
      <w:r>
        <w:t>08/09 — DATA_ERROR debe conservar nube de fuente, triángulo en resultado y acceso al popover.</w:t>
      </w:r>
    </w:p>
    <w:p>
      <w:pPr>
        <w:pStyle w:val="ListBullet"/>
      </w:pPr>
      <w:r>
        <w:t>10 — aging acelerado + rerender: clock estable, Detail abierto, transiciones visuales y geometría sin reflow.</w:t>
      </w:r>
    </w:p>
    <w:p>
      <w:pPr>
        <w:pStyle w:val="ListBullet"/>
      </w:pPr>
      <w:r>
        <w:t>Hover/focus — el borde se limita al tamaño del bloque PI/Dispatch; no aparecen tooltips title nativos.</w:t>
      </w:r>
    </w:p>
    <w:p>
      <w:pPr>
        <w:pStyle w:val="Heading1"/>
      </w:pPr>
      <w:r>
        <w:t>10. Fuera de alcance</w:t>
      </w:r>
    </w:p>
    <w:p>
      <w:r>
        <w:t>TS-012B no implementa overlays “Información desactualizada” ni “En construcción” sobre Global Indicator u otros componentes. Ese comportamiento requiere Content State, precedencia de estados y un resolver real source → componentes dependientes. Tampoco conecta Collector real ni modifica la autoridad PI/Dispatch.</w:t>
      </w:r>
    </w:p>
    <w:p>
      <w:pPr>
        <w:pStyle w:val="Heading1"/>
      </w:pPr>
      <w:r>
        <w:t>11. Supuestos y elementos no verificados</w:t>
      </w:r>
    </w:p>
    <w:p>
      <w:r>
        <w:t>El entorno de construcción no reproduce los locks reales generados en macOS con Python 3.14.2. Por eso la validación local cubre contratos, sintaxis, mirrors y rollback, mientras la resolución locked completa queda sujeta al gate autoritativo del usuario. TS-012 permanece EN VALIDACIÓN hasta aprobación visual posterior.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Atlanticus / ADA · TS-012B · Visual Polish Corrective ·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131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131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1313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lanticusCode">
    <w:name w:val="Atlanticus Code"/>
    <w:pPr>
      <w:spacing w:before="40" w:after="100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