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Atlanticus / ADA — R3.5E</w:t>
      </w:r>
    </w:p>
    <w:p>
      <w:pPr>
        <w:jc w:val="center"/>
      </w:pPr>
      <w:r>
        <w:rPr>
          <w:b/>
          <w:sz w:val="32"/>
        </w:rPr>
        <w:t>E-008 — Source unavailable / CACHE_FALLBACK</w:t>
      </w:r>
    </w:p>
    <w:p>
      <w:pPr>
        <w:jc w:val="center"/>
      </w:pPr>
      <w:r>
        <w:rPr>
          <w:i/>
        </w:rPr>
        <w:t>Contrato de harness v1.0.0 — HARNESS READY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7EEF8"/>
          </w:tcPr>
          <w:p>
            <w:r/>
            <w:r>
              <w:rPr>
                <w:b/>
                <w:sz w:val="18"/>
              </w:rPr>
              <w:t>Estado</w:t>
            </w:r>
          </w:p>
        </w:tc>
        <w:tc>
          <w:tcPr>
            <w:tcW w:type="dxa" w:w="5083"/>
            <w:vAlign w:val="center"/>
          </w:tcPr>
          <w:p>
            <w:r/>
            <w:r>
              <w:rPr>
                <w:b w:val="0"/>
                <w:sz w:val="18"/>
              </w:rPr>
              <w:t>HARNESS READY — pendiente gate autoritativo GLONBW11</w:t>
            </w:r>
          </w:p>
        </w:tc>
      </w:tr>
      <w:tr>
        <w:tc>
          <w:tcPr>
            <w:tcW w:type="dxa" w:w="5083"/>
            <w:vAlign w:val="center"/>
            <w:shd w:fill="E7EEF8"/>
          </w:tcPr>
          <w:p>
            <w:r/>
            <w:r>
              <w:rPr>
                <w:b/>
                <w:sz w:val="18"/>
              </w:rPr>
              <w:t>Scope</w:t>
            </w:r>
          </w:p>
        </w:tc>
        <w:tc>
          <w:tcPr>
            <w:tcW w:type="dxa" w:w="5083"/>
            <w:vAlign w:val="center"/>
          </w:tcPr>
          <w:p>
            <w:r/>
            <w:r>
              <w:rPr>
                <w:b w:val="0"/>
                <w:sz w:val="18"/>
              </w:rPr>
              <w:t>Harness-only; 7 archivos</w:t>
            </w:r>
          </w:p>
        </w:tc>
      </w:tr>
      <w:tr>
        <w:tc>
          <w:tcPr>
            <w:tcW w:type="dxa" w:w="5083"/>
            <w:vAlign w:val="center"/>
            <w:shd w:fill="E7EEF8"/>
          </w:tcPr>
          <w:p>
            <w:r/>
            <w:r>
              <w:rPr>
                <w:b/>
                <w:sz w:val="18"/>
              </w:rPr>
              <w:t>Suite esperada</w:t>
            </w:r>
          </w:p>
        </w:tc>
        <w:tc>
          <w:tcPr>
            <w:tcW w:type="dxa" w:w="5083"/>
            <w:vAlign w:val="center"/>
          </w:tcPr>
          <w:p>
            <w:r/>
            <w:r>
              <w:rPr>
                <w:b w:val="0"/>
                <w:sz w:val="18"/>
              </w:rPr>
              <w:t>324 tests</w:t>
            </w:r>
          </w:p>
        </w:tc>
      </w:tr>
      <w:tr>
        <w:tc>
          <w:tcPr>
            <w:tcW w:type="dxa" w:w="5083"/>
            <w:vAlign w:val="center"/>
            <w:shd w:fill="E7EEF8"/>
          </w:tcPr>
          <w:p>
            <w:r/>
            <w:r>
              <w:rPr>
                <w:b/>
                <w:sz w:val="18"/>
              </w:rPr>
              <w:t>Python autoritativo</w:t>
            </w:r>
          </w:p>
        </w:tc>
        <w:tc>
          <w:tcPr>
            <w:tcW w:type="dxa" w:w="5083"/>
            <w:vAlign w:val="center"/>
          </w:tcPr>
          <w:p>
            <w:r/>
            <w:r>
              <w:rPr>
                <w:b w:val="0"/>
                <w:sz w:val="18"/>
              </w:rPr>
              <w:t>3.14.2 + UV</w:t>
            </w:r>
          </w:p>
        </w:tc>
      </w:tr>
      <w:tr>
        <w:tc>
          <w:tcPr>
            <w:tcW w:type="dxa" w:w="5083"/>
            <w:vAlign w:val="center"/>
            <w:shd w:fill="E7EEF8"/>
          </w:tcPr>
          <w:p>
            <w:r/>
            <w:r>
              <w:rPr>
                <w:b/>
                <w:sz w:val="18"/>
              </w:rPr>
              <w:t>Harness SHA-256</w:t>
            </w:r>
          </w:p>
        </w:tc>
        <w:tc>
          <w:tcPr>
            <w:tcW w:type="dxa" w:w="5083"/>
            <w:vAlign w:val="center"/>
          </w:tcPr>
          <w:p>
            <w:r/>
            <w:r>
              <w:rPr>
                <w:b w:val="0"/>
                <w:sz w:val="18"/>
              </w:rPr>
              <w:t>ceac94317727cee9c1c32dc7ac1f0c30e81be45261f07d911aca11dfcf0c4762</w:t>
            </w:r>
          </w:p>
        </w:tc>
      </w:tr>
    </w:tbl>
    <w:p>
      <w:pPr>
        <w:pStyle w:val="Heading1"/>
      </w:pPr>
      <w:r>
        <w:t>1. Objetivo</w:t>
      </w:r>
    </w:p>
    <w:p>
      <w:r>
        <w:t>Validar que el runtime mantenga continuidad operacional degradada sobre el last-known-good cuando el runtime manifest publicado deja de estar disponible de forma persistente, sin introducir un candidato alternativo ni modificar la implementación productiva del resolver.</w:t>
      </w:r>
    </w:p>
    <w:p>
      <w:pPr>
        <w:pStyle w:val="Heading1"/>
      </w:pPr>
      <w:r>
        <w:t>2. Escenario cerrado</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Parámetro</w:t>
            </w:r>
          </w:p>
        </w:tc>
        <w:tc>
          <w:tcPr>
            <w:tcW w:type="dxa" w:w="5083"/>
            <w:vAlign w:val="center"/>
            <w:shd w:fill="D9EAF7"/>
          </w:tcPr>
          <w:p>
            <w:r/>
            <w:r>
              <w:rPr>
                <w:b/>
                <w:sz w:val="18"/>
              </w:rPr>
              <w:t>Valor</w:t>
            </w:r>
          </w:p>
        </w:tc>
      </w:tr>
      <w:tr>
        <w:tc>
          <w:tcPr>
            <w:tcW w:type="dxa" w:w="5083"/>
            <w:vAlign w:val="center"/>
          </w:tcPr>
          <w:p>
            <w:r/>
            <w:r>
              <w:rPr>
                <w:b/>
                <w:sz w:val="18"/>
              </w:rPr>
              <w:t>Alarmas</w:t>
            </w:r>
          </w:p>
        </w:tc>
        <w:tc>
          <w:tcPr>
            <w:tcW w:type="dxa" w:w="5083"/>
            <w:vAlign w:val="center"/>
          </w:tcPr>
          <w:p>
            <w:r/>
            <w:r>
              <w:rPr>
                <w:b w:val="0"/>
                <w:sz w:val="18"/>
              </w:rPr>
              <w:t>1000</w:t>
            </w:r>
          </w:p>
        </w:tc>
      </w:tr>
      <w:tr>
        <w:tc>
          <w:tcPr>
            <w:tcW w:type="dxa" w:w="5083"/>
            <w:vAlign w:val="center"/>
          </w:tcPr>
          <w:p>
            <w:r/>
            <w:r>
              <w:rPr>
                <w:b/>
                <w:sz w:val="18"/>
              </w:rPr>
              <w:t>Data profile</w:t>
            </w:r>
          </w:p>
        </w:tc>
        <w:tc>
          <w:tcPr>
            <w:tcW w:type="dxa" w:w="5083"/>
            <w:vAlign w:val="center"/>
          </w:tcPr>
          <w:p>
            <w:r/>
            <w:r>
              <w:rPr>
                <w:b w:val="0"/>
                <w:sz w:val="18"/>
              </w:rPr>
              <w:t>latest-narrow</w:t>
            </w:r>
          </w:p>
        </w:tc>
      </w:tr>
      <w:tr>
        <w:tc>
          <w:tcPr>
            <w:tcW w:type="dxa" w:w="5083"/>
            <w:vAlign w:val="center"/>
          </w:tcPr>
          <w:p>
            <w:r/>
            <w:r>
              <w:rPr>
                <w:b/>
                <w:sz w:val="18"/>
              </w:rPr>
              <w:t>Operational churn</w:t>
            </w:r>
          </w:p>
        </w:tc>
        <w:tc>
          <w:tcPr>
            <w:tcW w:type="dxa" w:w="5083"/>
            <w:vAlign w:val="center"/>
          </w:tcPr>
          <w:p>
            <w:r/>
            <w:r>
              <w:rPr>
                <w:b w:val="0"/>
                <w:sz w:val="18"/>
              </w:rPr>
              <w:t>10%</w:t>
            </w:r>
          </w:p>
        </w:tc>
      </w:tr>
      <w:tr>
        <w:tc>
          <w:tcPr>
            <w:tcW w:type="dxa" w:w="5083"/>
            <w:vAlign w:val="center"/>
          </w:tcPr>
          <w:p>
            <w:r/>
            <w:r>
              <w:rPr>
                <w:b/>
                <w:sz w:val="18"/>
              </w:rPr>
              <w:t>Initial ACTIVE</w:t>
            </w:r>
          </w:p>
        </w:tc>
        <w:tc>
          <w:tcPr>
            <w:tcW w:type="dxa" w:w="5083"/>
            <w:vAlign w:val="center"/>
          </w:tcPr>
          <w:p>
            <w:r/>
            <w:r>
              <w:rPr>
                <w:b w:val="0"/>
                <w:sz w:val="18"/>
              </w:rPr>
              <w:t>50% (500 alarmas)</w:t>
            </w:r>
          </w:p>
        </w:tc>
      </w:tr>
      <w:tr>
        <w:tc>
          <w:tcPr>
            <w:tcW w:type="dxa" w:w="5083"/>
            <w:vAlign w:val="center"/>
          </w:tcPr>
          <w:p>
            <w:r/>
            <w:r>
              <w:rPr>
                <w:b/>
                <w:sz w:val="18"/>
              </w:rPr>
              <w:t>Priority groups</w:t>
            </w:r>
          </w:p>
        </w:tc>
        <w:tc>
          <w:tcPr>
            <w:tcW w:type="dxa" w:w="5083"/>
            <w:vAlign w:val="center"/>
          </w:tcPr>
          <w:p>
            <w:r/>
            <w:r>
              <w:rPr>
                <w:b w:val="0"/>
                <w:sz w:val="18"/>
              </w:rPr>
              <w:t>100 × 10 alarmas</w:t>
            </w:r>
          </w:p>
        </w:tc>
      </w:tr>
      <w:tr>
        <w:tc>
          <w:tcPr>
            <w:tcW w:type="dxa" w:w="5083"/>
            <w:vAlign w:val="center"/>
          </w:tcPr>
          <w:p>
            <w:r/>
            <w:r>
              <w:rPr>
                <w:b/>
                <w:sz w:val="18"/>
              </w:rPr>
              <w:t>Particiones</w:t>
            </w:r>
          </w:p>
        </w:tc>
        <w:tc>
          <w:tcPr>
            <w:tcW w:type="dxa" w:w="5083"/>
            <w:vAlign w:val="center"/>
          </w:tcPr>
          <w:p>
            <w:r/>
            <w:r>
              <w:rPr>
                <w:b w:val="0"/>
                <w:sz w:val="18"/>
              </w:rPr>
              <w:t>36 balanced</w:t>
            </w:r>
          </w:p>
        </w:tc>
      </w:tr>
      <w:tr>
        <w:tc>
          <w:tcPr>
            <w:tcW w:type="dxa" w:w="5083"/>
            <w:vAlign w:val="center"/>
          </w:tcPr>
          <w:p>
            <w:r/>
            <w:r>
              <w:rPr>
                <w:b/>
                <w:sz w:val="18"/>
              </w:rPr>
              <w:t>Duración</w:t>
            </w:r>
          </w:p>
        </w:tc>
        <w:tc>
          <w:tcPr>
            <w:tcW w:type="dxa" w:w="5083"/>
            <w:vAlign w:val="center"/>
          </w:tcPr>
          <w:p>
            <w:r/>
            <w:r>
              <w:rPr>
                <w:b w:val="0"/>
                <w:sz w:val="18"/>
              </w:rPr>
              <w:t>600 s</w:t>
            </w:r>
          </w:p>
        </w:tc>
      </w:tr>
      <w:tr>
        <w:tc>
          <w:tcPr>
            <w:tcW w:type="dxa" w:w="5083"/>
            <w:vAlign w:val="center"/>
          </w:tcPr>
          <w:p>
            <w:r/>
            <w:r>
              <w:rPr>
                <w:b/>
                <w:sz w:val="18"/>
              </w:rPr>
              <w:t>Iteration period</w:t>
            </w:r>
          </w:p>
        </w:tc>
        <w:tc>
          <w:tcPr>
            <w:tcW w:type="dxa" w:w="5083"/>
            <w:vAlign w:val="center"/>
          </w:tcPr>
          <w:p>
            <w:r/>
            <w:r>
              <w:rPr>
                <w:b w:val="0"/>
                <w:sz w:val="18"/>
              </w:rPr>
              <w:t>5 s</w:t>
            </w:r>
          </w:p>
        </w:tc>
      </w:tr>
      <w:tr>
        <w:tc>
          <w:tcPr>
            <w:tcW w:type="dxa" w:w="5083"/>
            <w:vAlign w:val="center"/>
          </w:tcPr>
          <w:p>
            <w:r/>
            <w:r>
              <w:rPr>
                <w:b/>
                <w:sz w:val="18"/>
              </w:rPr>
              <w:t>Data refresh</w:t>
            </w:r>
          </w:p>
        </w:tc>
        <w:tc>
          <w:tcPr>
            <w:tcW w:type="dxa" w:w="5083"/>
            <w:vAlign w:val="center"/>
          </w:tcPr>
          <w:p>
            <w:r/>
            <w:r>
              <w:rPr>
                <w:b w:val="0"/>
                <w:sz w:val="18"/>
              </w:rPr>
              <w:t>10 s</w:t>
            </w:r>
          </w:p>
        </w:tc>
      </w:tr>
      <w:tr>
        <w:tc>
          <w:tcPr>
            <w:tcW w:type="dxa" w:w="5083"/>
            <w:vAlign w:val="center"/>
          </w:tcPr>
          <w:p>
            <w:r/>
            <w:r>
              <w:rPr>
                <w:b/>
                <w:sz w:val="18"/>
              </w:rPr>
              <w:t>Falla Source</w:t>
            </w:r>
          </w:p>
        </w:tc>
        <w:tc>
          <w:tcPr>
            <w:tcW w:type="dxa" w:w="5083"/>
            <w:vAlign w:val="center"/>
          </w:tcPr>
          <w:p>
            <w:r/>
            <w:r>
              <w:rPr>
                <w:b w:val="0"/>
                <w:sz w:val="18"/>
              </w:rPr>
              <w:t>runtime manifest indisponible desde +60 s hasta el final</w:t>
            </w:r>
          </w:p>
        </w:tc>
      </w:tr>
      <w:tr>
        <w:tc>
          <w:tcPr>
            <w:tcW w:type="dxa" w:w="5083"/>
            <w:vAlign w:val="center"/>
          </w:tcPr>
          <w:p>
            <w:r/>
            <w:r>
              <w:rPr>
                <w:b/>
                <w:sz w:val="18"/>
              </w:rPr>
              <w:t>Revisión efectiva</w:t>
            </w:r>
          </w:p>
        </w:tc>
        <w:tc>
          <w:tcPr>
            <w:tcW w:type="dxa" w:w="5083"/>
            <w:vAlign w:val="center"/>
          </w:tcPr>
          <w:p>
            <w:r/>
            <w:r>
              <w:rPr>
                <w:b w:val="0"/>
                <w:sz w:val="18"/>
              </w:rPr>
              <w:t>PERF-AC-1 / PERF-TR-1</w:t>
            </w:r>
          </w:p>
        </w:tc>
      </w:tr>
      <w:tr>
        <w:tc>
          <w:tcPr>
            <w:tcW w:type="dxa" w:w="5083"/>
            <w:vAlign w:val="center"/>
          </w:tcPr>
          <w:p>
            <w:r/>
            <w:r>
              <w:rPr>
                <w:b/>
                <w:sz w:val="18"/>
              </w:rPr>
              <w:t>PERF-AC-2</w:t>
            </w:r>
          </w:p>
        </w:tc>
        <w:tc>
          <w:tcPr>
            <w:tcW w:type="dxa" w:w="5083"/>
            <w:vAlign w:val="center"/>
          </w:tcPr>
          <w:p>
            <w:r/>
            <w:r>
              <w:rPr>
                <w:b w:val="0"/>
                <w:sz w:val="18"/>
              </w:rPr>
              <w:t>No existe en E-008</w:t>
            </w:r>
          </w:p>
        </w:tc>
      </w:tr>
    </w:tbl>
    <w:p>
      <w:r>
        <w:t>Corrección respecto del diseño verbal inicial: operational_churn ya posee un contrato validado que exige initial_active_percent=50. E-008 reutiliza esa geometría; no se relaja el contrato para permitir 100% ACTIVE.</w:t>
      </w:r>
    </w:p>
    <w:p>
      <w:pPr>
        <w:pStyle w:val="Heading1"/>
      </w:pPr>
      <w:r>
        <w:t>3. Inyección de falla</w:t>
      </w:r>
    </w:p>
    <w:p>
      <w:r>
        <w:t>La indisponibilidad se inyecta en la frontera RuntimeRevisionSource.read_manifest mediante ScheduledUnavailableRevisionSource. Antes de +60 s delega al FileRuntimeRevisionSource; desde +60 s lanza RuntimeRevisionSourceError de forma persistente. No se borran, renombran ni corrompen archivos físicos.</w:t>
      </w:r>
    </w:p>
    <w:p>
      <w:pPr>
        <w:pStyle w:val="Heading1"/>
      </w:pPr>
      <w:r>
        <w:t>4. Hard gate</w:t>
      </w:r>
    </w:p>
    <w:p>
      <w:pPr>
        <w:pStyle w:val="ListBullet"/>
      </w:pPr>
      <w:r>
        <w:t>La primera iteración en fallback debe ser la #13.</w:t>
      </w:r>
    </w:p>
    <w:p>
      <w:pPr>
        <w:pStyle w:val="ListBullet"/>
      </w:pPr>
      <w:r>
        <w:t>Todas las iteraciones desde #13 hasta la última deben informar revision_origin=cache_fallback, adoption_outcome=not_required, cycle_executed=true y degraded=true.</w:t>
      </w:r>
    </w:p>
    <w:p>
      <w:pPr>
        <w:pStyle w:val="ListBullet"/>
      </w:pPr>
      <w:r>
        <w:t>El número de iteraciones post-falla que no cumplan el patrón debe ser 0.</w:t>
      </w:r>
    </w:p>
    <w:p>
      <w:pPr>
        <w:pStyle w:val="ListBullet"/>
      </w:pPr>
      <w:r>
        <w:t>El cache efectivo debe permanecer PERF-AC-1 / PERF-TR-1.</w:t>
      </w:r>
    </w:p>
    <w:p>
      <w:pPr>
        <w:pStyle w:val="ListBullet"/>
      </w:pPr>
      <w:r>
        <w:t>El cache debe reemplazarse exactamente una vez durante bootstrap y 0 veces después de la falla.</w:t>
      </w:r>
    </w:p>
    <w:p>
      <w:pPr>
        <w:pStyle w:val="ListBullet"/>
      </w:pPr>
      <w:r>
        <w:t>Todos los commits durables deben usar PERF-AC-1 / PERF-TR-1; revisiones inesperadas=0.</w:t>
      </w:r>
    </w:p>
    <w:p>
      <w:pPr>
        <w:pStyle w:val="ListBullet"/>
      </w:pPr>
      <w:r>
        <w:t>Todos los snapshots deben conservar state_basis PERF-AC-1 / PERF-TR-1; basis inesperado=0.</w:t>
      </w:r>
    </w:p>
    <w:p>
      <w:pPr>
        <w:pStyle w:val="ListBullet"/>
      </w:pPr>
      <w:r>
        <w:t>El FunctionalPressure existente para operational churn debe permanecer íntegro; journal aligned y durable==materialized.</w:t>
      </w:r>
    </w:p>
    <w:p>
      <w:pPr>
        <w:pStyle w:val="Heading1"/>
      </w:pPr>
      <w:r>
        <w:t>5. Instrumentación añadida</w:t>
      </w:r>
    </w:p>
    <w:p>
      <w:r>
        <w:t>Se incorpora el campo/CLI source_unavailable_at_seconds / --source-unavailable-at-seconds, una fuente programada de indisponibilidad, un cache instrumentado sólo para el harness y SourceUnavailablePressureMetrics. No se modifica ada.processes.alarms_runtime productivo.</w:t>
      </w:r>
    </w:p>
    <w:p>
      <w:pPr>
        <w:pStyle w:val="Heading1"/>
      </w:pPr>
      <w:r>
        <w:t>6. Archivos modificados</w:t>
      </w:r>
    </w:p>
    <w:p>
      <w:pPr>
        <w:pStyle w:val="ListBullet"/>
      </w:pPr>
      <w:r>
        <w:t>performance/baseline.py</w:t>
      </w:r>
    </w:p>
    <w:p>
      <w:pPr>
        <w:pStyle w:val="ListBullet"/>
      </w:pPr>
      <w:r>
        <w:t>performance/metrics.py</w:t>
      </w:r>
    </w:p>
    <w:p>
      <w:pPr>
        <w:pStyle w:val="ListBullet"/>
      </w:pPr>
      <w:r>
        <w:t>performance/run.py</w:t>
      </w:r>
    </w:p>
    <w:p>
      <w:pPr>
        <w:pStyle w:val="ListBullet"/>
      </w:pPr>
      <w:r>
        <w:t>performance/commented/baseline.py</w:t>
      </w:r>
    </w:p>
    <w:p>
      <w:pPr>
        <w:pStyle w:val="ListBullet"/>
      </w:pPr>
      <w:r>
        <w:t>performance/commented/metrics.py</w:t>
      </w:r>
    </w:p>
    <w:p>
      <w:pPr>
        <w:pStyle w:val="ListBullet"/>
      </w:pPr>
      <w:r>
        <w:t>performance/commented/run.py</w:t>
      </w:r>
    </w:p>
    <w:p>
      <w:pPr>
        <w:pStyle w:val="ListBullet"/>
      </w:pPr>
      <w:r>
        <w:t>tests/test_performance_harness.py</w:t>
      </w:r>
    </w:p>
    <w:p>
      <w:pPr>
        <w:pStyle w:val="Heading1"/>
      </w:pPr>
      <w:r>
        <w:t>7. Regresiones y gate esperado</w:t>
      </w:r>
    </w:p>
    <w:p>
      <w:r>
        <w:t>Se agregan 4 regresiones de E-008: construcción de la indisponibilidad persistente, validación del contrato, integración del hard gate en PerformanceRunReport y reconstrucción independiente del fallback/cache/WAL/snapshots. La suite pasa de 320 a 324 tests esperados.</w:t>
      </w:r>
    </w:p>
    <w:p>
      <w:pPr>
        <w:pStyle w:val="Heading1"/>
      </w:pPr>
      <w:r>
        <w:t>8. Validación realizada antes del gate autoritativo</w:t>
      </w:r>
    </w:p>
    <w:p>
      <w:r>
        <w:t>Producción y espejo comentado conservan equivalencia exacta de tokens para baseline.py, metrics.py y run.py. py_compile pasa para baseline.py, metrics.py y tests; run.py pasa al normalizar únicamente la sintaxis PEP 758 preexistente que requiere Python 3.14. El entorno de construcción no dispone de Python 3.14.2 ni pyarrow en caché, por lo que no se declara pytest local como evidencia autoritativa.</w:t>
      </w:r>
    </w:p>
    <w:p>
      <w:pPr>
        <w:pStyle w:val="Heading1"/>
      </w:pPr>
      <w:r>
        <w:t>9. Gate autoritativo</w:t>
      </w:r>
    </w:p>
    <w:p>
      <w:r>
        <w:t>Aplicar el ZIP desde la raíz de atlanticus-stage y ejecutar Ruff check/format y pytest con UV + Python 3.14.2. El workload de 600 s sólo se ejecuta después de obtener 324/324.</w:t>
      </w:r>
    </w:p>
    <w:p>
      <w:pPr>
        <w:jc w:val="right"/>
      </w:pPr>
      <w:r>
        <w:rPr>
          <w:i/>
          <w:sz w:val="18"/>
        </w:rPr>
        <w:t>Atlanticus R3.5E — 29-08-2026</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