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Atlanticus / ADA — R3.5E</w:t>
      </w:r>
    </w:p>
    <w:p>
      <w:pPr>
        <w:jc w:val="center"/>
      </w:pPr>
      <w:r>
        <w:rPr>
          <w:b/>
          <w:sz w:val="32"/>
        </w:rPr>
        <w:t>E-009 — Invalid source candidate</w:t>
      </w:r>
    </w:p>
    <w:p>
      <w:pPr>
        <w:jc w:val="center"/>
      </w:pPr>
      <w:r>
        <w:rPr>
          <w:i/>
        </w:rPr>
        <w:t>Contrato de harness v1.0.0 — HARNESS READY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7EEF8"/>
          </w:tcPr>
          <w:p>
            <w:r/>
            <w:r>
              <w:rPr>
                <w:b/>
                <w:sz w:val="18"/>
              </w:rPr>
              <w:t>Estado</w:t>
            </w:r>
          </w:p>
        </w:tc>
        <w:tc>
          <w:tcPr>
            <w:tcW w:type="dxa" w:w="5083"/>
            <w:vAlign w:val="center"/>
          </w:tcPr>
          <w:p>
            <w:r/>
            <w:r>
              <w:rPr>
                <w:b w:val="0"/>
                <w:sz w:val="18"/>
              </w:rPr>
              <w:t>HARNESS READY — pendiente gate autoritativo GLONBW11</w:t>
            </w:r>
          </w:p>
        </w:tc>
      </w:tr>
      <w:tr>
        <w:tc>
          <w:tcPr>
            <w:tcW w:type="dxa" w:w="5083"/>
            <w:vAlign w:val="center"/>
            <w:shd w:fill="E7EEF8"/>
          </w:tcPr>
          <w:p>
            <w:r/>
            <w:r>
              <w:rPr>
                <w:b/>
                <w:sz w:val="18"/>
              </w:rPr>
              <w:t>Scope</w:t>
            </w:r>
          </w:p>
        </w:tc>
        <w:tc>
          <w:tcPr>
            <w:tcW w:type="dxa" w:w="5083"/>
            <w:vAlign w:val="center"/>
          </w:tcPr>
          <w:p>
            <w:r/>
            <w:r>
              <w:rPr>
                <w:b w:val="0"/>
                <w:sz w:val="18"/>
              </w:rPr>
              <w:t>Harness-only; 7 archivos</w:t>
            </w:r>
          </w:p>
        </w:tc>
      </w:tr>
      <w:tr>
        <w:tc>
          <w:tcPr>
            <w:tcW w:type="dxa" w:w="5083"/>
            <w:vAlign w:val="center"/>
            <w:shd w:fill="E7EEF8"/>
          </w:tcPr>
          <w:p>
            <w:r/>
            <w:r>
              <w:rPr>
                <w:b/>
                <w:sz w:val="18"/>
              </w:rPr>
              <w:t>Suite esperada</w:t>
            </w:r>
          </w:p>
        </w:tc>
        <w:tc>
          <w:tcPr>
            <w:tcW w:type="dxa" w:w="5083"/>
            <w:vAlign w:val="center"/>
          </w:tcPr>
          <w:p>
            <w:r/>
            <w:r>
              <w:rPr>
                <w:b w:val="0"/>
                <w:sz w:val="18"/>
              </w:rPr>
              <w:t>328 tests</w:t>
            </w:r>
          </w:p>
        </w:tc>
      </w:tr>
      <w:tr>
        <w:tc>
          <w:tcPr>
            <w:tcW w:type="dxa" w:w="5083"/>
            <w:vAlign w:val="center"/>
            <w:shd w:fill="E7EEF8"/>
          </w:tcPr>
          <w:p>
            <w:r/>
            <w:r>
              <w:rPr>
                <w:b/>
                <w:sz w:val="18"/>
              </w:rPr>
              <w:t>Python autoritativo</w:t>
            </w:r>
          </w:p>
        </w:tc>
        <w:tc>
          <w:tcPr>
            <w:tcW w:type="dxa" w:w="5083"/>
            <w:vAlign w:val="center"/>
          </w:tcPr>
          <w:p>
            <w:r/>
            <w:r>
              <w:rPr>
                <w:b w:val="0"/>
                <w:sz w:val="18"/>
              </w:rPr>
              <w:t>3.14.2 + UV</w:t>
            </w:r>
          </w:p>
        </w:tc>
      </w:tr>
      <w:tr>
        <w:tc>
          <w:tcPr>
            <w:tcW w:type="dxa" w:w="5083"/>
            <w:vAlign w:val="center"/>
            <w:shd w:fill="E7EEF8"/>
          </w:tcPr>
          <w:p>
            <w:r/>
            <w:r>
              <w:rPr>
                <w:b/>
                <w:sz w:val="18"/>
              </w:rPr>
              <w:t>Harness SHA-256</w:t>
            </w:r>
          </w:p>
        </w:tc>
        <w:tc>
          <w:tcPr>
            <w:tcW w:type="dxa" w:w="5083"/>
            <w:vAlign w:val="center"/>
          </w:tcPr>
          <w:p>
            <w:r/>
            <w:r>
              <w:rPr>
                <w:b w:val="0"/>
                <w:sz w:val="18"/>
              </w:rPr>
              <w:t>e9a7655696e011ad5f5b2aeb2427a7bbef32aeee338958e4061d513a91fc7b20</w:t>
            </w:r>
          </w:p>
        </w:tc>
      </w:tr>
    </w:tbl>
    <w:p>
      <w:pPr>
        <w:pStyle w:val="Heading1"/>
      </w:pPr>
      <w:r>
        <w:t>1. Objetivo</w:t>
      </w:r>
    </w:p>
    <w:p>
      <w:r>
        <w:t>Validar que una fuente accesible pueda publicar un runtime manifest que apunta a un candidate legible pero contractualmente inválido, sin contaminar el cache efectivo ni interrumpir el ciclo operacional. E-009 debe demostrar una causa de CACHE_FALLBACK distinta de E-008 y anterior a Configuration Adoption.</w:t>
      </w:r>
    </w:p>
    <w:p>
      <w:pPr>
        <w:pStyle w:val="Heading1"/>
      </w:pPr>
      <w:r>
        <w:t>2. Escenario cerrado</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8"/>
              </w:rPr>
              <w:t>Parámetro</w:t>
            </w:r>
          </w:p>
        </w:tc>
        <w:tc>
          <w:tcPr>
            <w:tcW w:type="dxa" w:w="5083"/>
            <w:vAlign w:val="center"/>
            <w:shd w:fill="D9EAF7"/>
          </w:tcPr>
          <w:p>
            <w:r/>
            <w:r>
              <w:rPr>
                <w:b/>
                <w:sz w:val="18"/>
              </w:rPr>
              <w:t>Valor</w:t>
            </w:r>
          </w:p>
        </w:tc>
      </w:tr>
      <w:tr>
        <w:tc>
          <w:tcPr>
            <w:tcW w:type="dxa" w:w="5083"/>
            <w:vAlign w:val="center"/>
          </w:tcPr>
          <w:p>
            <w:r/>
            <w:r>
              <w:rPr>
                <w:b/>
                <w:sz w:val="18"/>
              </w:rPr>
              <w:t>Alarmas</w:t>
            </w:r>
          </w:p>
        </w:tc>
        <w:tc>
          <w:tcPr>
            <w:tcW w:type="dxa" w:w="5083"/>
            <w:vAlign w:val="center"/>
          </w:tcPr>
          <w:p>
            <w:r/>
            <w:r>
              <w:rPr>
                <w:b w:val="0"/>
                <w:sz w:val="18"/>
              </w:rPr>
              <w:t>1000</w:t>
            </w:r>
          </w:p>
        </w:tc>
      </w:tr>
      <w:tr>
        <w:tc>
          <w:tcPr>
            <w:tcW w:type="dxa" w:w="5083"/>
            <w:vAlign w:val="center"/>
          </w:tcPr>
          <w:p>
            <w:r/>
            <w:r>
              <w:rPr>
                <w:b/>
                <w:sz w:val="18"/>
              </w:rPr>
              <w:t>Data profile</w:t>
            </w:r>
          </w:p>
        </w:tc>
        <w:tc>
          <w:tcPr>
            <w:tcW w:type="dxa" w:w="5083"/>
            <w:vAlign w:val="center"/>
          </w:tcPr>
          <w:p>
            <w:r/>
            <w:r>
              <w:rPr>
                <w:b w:val="0"/>
                <w:sz w:val="18"/>
              </w:rPr>
              <w:t>latest-narrow</w:t>
            </w:r>
          </w:p>
        </w:tc>
      </w:tr>
      <w:tr>
        <w:tc>
          <w:tcPr>
            <w:tcW w:type="dxa" w:w="5083"/>
            <w:vAlign w:val="center"/>
          </w:tcPr>
          <w:p>
            <w:r/>
            <w:r>
              <w:rPr>
                <w:b/>
                <w:sz w:val="18"/>
              </w:rPr>
              <w:t>Operational churn</w:t>
            </w:r>
          </w:p>
        </w:tc>
        <w:tc>
          <w:tcPr>
            <w:tcW w:type="dxa" w:w="5083"/>
            <w:vAlign w:val="center"/>
          </w:tcPr>
          <w:p>
            <w:r/>
            <w:r>
              <w:rPr>
                <w:b w:val="0"/>
                <w:sz w:val="18"/>
              </w:rPr>
              <w:t>10%</w:t>
            </w:r>
          </w:p>
        </w:tc>
      </w:tr>
      <w:tr>
        <w:tc>
          <w:tcPr>
            <w:tcW w:type="dxa" w:w="5083"/>
            <w:vAlign w:val="center"/>
          </w:tcPr>
          <w:p>
            <w:r/>
            <w:r>
              <w:rPr>
                <w:b/>
                <w:sz w:val="18"/>
              </w:rPr>
              <w:t>Initial ACTIVE</w:t>
            </w:r>
          </w:p>
        </w:tc>
        <w:tc>
          <w:tcPr>
            <w:tcW w:type="dxa" w:w="5083"/>
            <w:vAlign w:val="center"/>
          </w:tcPr>
          <w:p>
            <w:r/>
            <w:r>
              <w:rPr>
                <w:b w:val="0"/>
                <w:sz w:val="18"/>
              </w:rPr>
              <w:t>50% (500 alarmas)</w:t>
            </w:r>
          </w:p>
        </w:tc>
      </w:tr>
      <w:tr>
        <w:tc>
          <w:tcPr>
            <w:tcW w:type="dxa" w:w="5083"/>
            <w:vAlign w:val="center"/>
          </w:tcPr>
          <w:p>
            <w:r/>
            <w:r>
              <w:rPr>
                <w:b/>
                <w:sz w:val="18"/>
              </w:rPr>
              <w:t>Priority groups</w:t>
            </w:r>
          </w:p>
        </w:tc>
        <w:tc>
          <w:tcPr>
            <w:tcW w:type="dxa" w:w="5083"/>
            <w:vAlign w:val="center"/>
          </w:tcPr>
          <w:p>
            <w:r/>
            <w:r>
              <w:rPr>
                <w:b w:val="0"/>
                <w:sz w:val="18"/>
              </w:rPr>
              <w:t>100 × 10 alarmas</w:t>
            </w:r>
          </w:p>
        </w:tc>
      </w:tr>
      <w:tr>
        <w:tc>
          <w:tcPr>
            <w:tcW w:type="dxa" w:w="5083"/>
            <w:vAlign w:val="center"/>
          </w:tcPr>
          <w:p>
            <w:r/>
            <w:r>
              <w:rPr>
                <w:b/>
                <w:sz w:val="18"/>
              </w:rPr>
              <w:t>Particiones</w:t>
            </w:r>
          </w:p>
        </w:tc>
        <w:tc>
          <w:tcPr>
            <w:tcW w:type="dxa" w:w="5083"/>
            <w:vAlign w:val="center"/>
          </w:tcPr>
          <w:p>
            <w:r/>
            <w:r>
              <w:rPr>
                <w:b w:val="0"/>
                <w:sz w:val="18"/>
              </w:rPr>
              <w:t>36 balanced</w:t>
            </w:r>
          </w:p>
        </w:tc>
      </w:tr>
      <w:tr>
        <w:tc>
          <w:tcPr>
            <w:tcW w:type="dxa" w:w="5083"/>
            <w:vAlign w:val="center"/>
          </w:tcPr>
          <w:p>
            <w:r/>
            <w:r>
              <w:rPr>
                <w:b/>
                <w:sz w:val="18"/>
              </w:rPr>
              <w:t>Duración</w:t>
            </w:r>
          </w:p>
        </w:tc>
        <w:tc>
          <w:tcPr>
            <w:tcW w:type="dxa" w:w="5083"/>
            <w:vAlign w:val="center"/>
          </w:tcPr>
          <w:p>
            <w:r/>
            <w:r>
              <w:rPr>
                <w:b w:val="0"/>
                <w:sz w:val="18"/>
              </w:rPr>
              <w:t>600 s</w:t>
            </w:r>
          </w:p>
        </w:tc>
      </w:tr>
      <w:tr>
        <w:tc>
          <w:tcPr>
            <w:tcW w:type="dxa" w:w="5083"/>
            <w:vAlign w:val="center"/>
          </w:tcPr>
          <w:p>
            <w:r/>
            <w:r>
              <w:rPr>
                <w:b/>
                <w:sz w:val="18"/>
              </w:rPr>
              <w:t>Iteration period</w:t>
            </w:r>
          </w:p>
        </w:tc>
        <w:tc>
          <w:tcPr>
            <w:tcW w:type="dxa" w:w="5083"/>
            <w:vAlign w:val="center"/>
          </w:tcPr>
          <w:p>
            <w:r/>
            <w:r>
              <w:rPr>
                <w:b w:val="0"/>
                <w:sz w:val="18"/>
              </w:rPr>
              <w:t>5 s</w:t>
            </w:r>
          </w:p>
        </w:tc>
      </w:tr>
      <w:tr>
        <w:tc>
          <w:tcPr>
            <w:tcW w:type="dxa" w:w="5083"/>
            <w:vAlign w:val="center"/>
          </w:tcPr>
          <w:p>
            <w:r/>
            <w:r>
              <w:rPr>
                <w:b/>
                <w:sz w:val="18"/>
              </w:rPr>
              <w:t>Data refresh</w:t>
            </w:r>
          </w:p>
        </w:tc>
        <w:tc>
          <w:tcPr>
            <w:tcW w:type="dxa" w:w="5083"/>
            <w:vAlign w:val="center"/>
          </w:tcPr>
          <w:p>
            <w:r/>
            <w:r>
              <w:rPr>
                <w:b w:val="0"/>
                <w:sz w:val="18"/>
              </w:rPr>
              <w:t>10 s</w:t>
            </w:r>
          </w:p>
        </w:tc>
      </w:tr>
      <w:tr>
        <w:tc>
          <w:tcPr>
            <w:tcW w:type="dxa" w:w="5083"/>
            <w:vAlign w:val="center"/>
          </w:tcPr>
          <w:p>
            <w:r/>
            <w:r>
              <w:rPr>
                <w:b/>
                <w:sz w:val="18"/>
              </w:rPr>
              <w:t>Candidate visible</w:t>
            </w:r>
          </w:p>
        </w:tc>
        <w:tc>
          <w:tcPr>
            <w:tcW w:type="dxa" w:w="5083"/>
            <w:vAlign w:val="center"/>
          </w:tcPr>
          <w:p>
            <w:r/>
            <w:r>
              <w:rPr>
                <w:b w:val="0"/>
                <w:sz w:val="18"/>
              </w:rPr>
              <w:t>+60 s hasta el final</w:t>
            </w:r>
          </w:p>
        </w:tc>
      </w:tr>
      <w:tr>
        <w:tc>
          <w:tcPr>
            <w:tcW w:type="dxa" w:w="5083"/>
            <w:vAlign w:val="center"/>
          </w:tcPr>
          <w:p>
            <w:r/>
            <w:r>
              <w:rPr>
                <w:b/>
                <w:sz w:val="18"/>
              </w:rPr>
              <w:t>LKG efectivo</w:t>
            </w:r>
          </w:p>
        </w:tc>
        <w:tc>
          <w:tcPr>
            <w:tcW w:type="dxa" w:w="5083"/>
            <w:vAlign w:val="center"/>
          </w:tcPr>
          <w:p>
            <w:r/>
            <w:r>
              <w:rPr>
                <w:b w:val="0"/>
                <w:sz w:val="18"/>
              </w:rPr>
              <w:t>PERF-AC-1 / PERF-TR-1</w:t>
            </w:r>
          </w:p>
        </w:tc>
      </w:tr>
      <w:tr>
        <w:tc>
          <w:tcPr>
            <w:tcW w:type="dxa" w:w="5083"/>
            <w:vAlign w:val="center"/>
          </w:tcPr>
          <w:p>
            <w:r/>
            <w:r>
              <w:rPr>
                <w:b/>
                <w:sz w:val="18"/>
              </w:rPr>
              <w:t>Manifest candidate</w:t>
            </w:r>
          </w:p>
        </w:tc>
        <w:tc>
          <w:tcPr>
            <w:tcW w:type="dxa" w:w="5083"/>
            <w:vAlign w:val="center"/>
          </w:tcPr>
          <w:p>
            <w:r/>
            <w:r>
              <w:rPr>
                <w:b w:val="0"/>
                <w:sz w:val="18"/>
              </w:rPr>
              <w:t>PERF-AC-2 / PERF-TR-1</w:t>
            </w:r>
          </w:p>
        </w:tc>
      </w:tr>
      <w:tr>
        <w:tc>
          <w:tcPr>
            <w:tcW w:type="dxa" w:w="5083"/>
            <w:vAlign w:val="center"/>
          </w:tcPr>
          <w:p>
            <w:r/>
            <w:r>
              <w:rPr>
                <w:b/>
                <w:sz w:val="18"/>
              </w:rPr>
              <w:t>Documento candidate</w:t>
            </w:r>
          </w:p>
        </w:tc>
        <w:tc>
          <w:tcPr>
            <w:tcW w:type="dxa" w:w="5083"/>
            <w:vAlign w:val="center"/>
          </w:tcPr>
          <w:p>
            <w:r/>
            <w:r>
              <w:rPr>
                <w:b w:val="0"/>
                <w:sz w:val="18"/>
              </w:rPr>
              <w:t>alarm-configuration/PERF-AC-2.json legible, con revision=PERF-AC-CORRUPT</w:t>
            </w:r>
          </w:p>
        </w:tc>
      </w:tr>
    </w:tbl>
    <w:p>
      <w:pPr>
        <w:pStyle w:val="Heading1"/>
      </w:pPr>
      <w:r>
        <w:t>3. Diferenciación causal</w:t>
      </w:r>
    </w:p>
    <w:p>
      <w:pPr>
        <w:pStyle w:val="ListBullet"/>
      </w:pPr>
      <w:r>
        <w:t>E-007: Source candidate válido llega a Configuration Adoption y es REJECTED por priority_group_changed.</w:t>
      </w:r>
    </w:p>
    <w:p>
      <w:pPr>
        <w:pStyle w:val="ListBullet"/>
      </w:pPr>
      <w:r>
        <w:t>E-008: read_manifest falla con RuntimeRevisionSourceError y el resolver usa CACHE_FALLBACK.</w:t>
      </w:r>
    </w:p>
    <w:p>
      <w:pPr>
        <w:pStyle w:val="ListBullet"/>
      </w:pPr>
      <w:r>
        <w:t>E-009: manifest y documentos se leen correctamente; StaticRevisionDecoder detecta alarm configuration revision mismatch y el resolver usa CACHE_FALLBACK antes de plan_configuration_adoption.</w:t>
      </w:r>
    </w:p>
    <w:p>
      <w:pPr>
        <w:pStyle w:val="Heading1"/>
      </w:pPr>
      <w:r>
        <w:t>4. Materialización del candidate inválido</w:t>
      </w:r>
    </w:p>
    <w:p>
      <w:r>
        <w:t>El harness escribe físicamente alarm-configuration/PERF-AC-2.json en el Source Local FS con {"revision": "PERF-AC-CORRUPT"}. El manifest físico inicial continúa apuntando a PERF-AC-1. ScheduledInvalidCandidateRevisionSource delega al FileRuntimeRevisionSource y, desde +60 s, expone un manifest válido que apunta a PERF-AC-2 / PERF-TR-1. De esta forma, la falla probada es de cross-validation contractual, no de disponibilidad de archivos.</w:t>
      </w:r>
    </w:p>
    <w:p>
      <w:pPr>
        <w:pStyle w:val="Heading1"/>
      </w:pPr>
      <w:r>
        <w:t>5. Hard gate</w:t>
      </w:r>
    </w:p>
    <w:p>
      <w:pPr>
        <w:pStyle w:val="ListBullet"/>
      </w:pPr>
      <w:r>
        <w:t>La primera iteración en fallback debe ser la #13.</w:t>
      </w:r>
    </w:p>
    <w:p>
      <w:pPr>
        <w:pStyle w:val="ListBullet"/>
      </w:pPr>
      <w:r>
        <w:t>Todas las iteraciones desde #13 hasta la última deben informar revision_origin=cache_fallback, adoption_outcome=not_required, cycle_executed=true y degraded=true.</w:t>
      </w:r>
    </w:p>
    <w:p>
      <w:pPr>
        <w:pStyle w:val="ListBullet"/>
      </w:pPr>
      <w:r>
        <w:t>Manifest failures debe permanecer en 0 durante toda la corrida.</w:t>
      </w:r>
    </w:p>
    <w:p>
      <w:pPr>
        <w:pStyle w:val="ListBullet"/>
      </w:pPr>
      <w:r>
        <w:t>candidate_manifest_count, candidate_alarm_document_read_count, candidate_tool_document_read_count y candidate_contract_failure_count deben ser iguales al número real de iteraciones fallback.</w:t>
      </w:r>
    </w:p>
    <w:p>
      <w:pPr>
        <w:pStyle w:val="ListBullet"/>
      </w:pPr>
      <w:r>
        <w:t>post_candidate_non_fallback, post_candidate_source_candidate y post_candidate_rejected deben ser 0.</w:t>
      </w:r>
    </w:p>
    <w:p>
      <w:pPr>
        <w:pStyle w:val="ListBullet"/>
      </w:pPr>
      <w:r>
        <w:t>El cache efectivo debe permanecer PERF-AC-1 / PERF-TR-1; replace total=1 (bootstrap) y replace post-candidate=0.</w:t>
      </w:r>
    </w:p>
    <w:p>
      <w:pPr>
        <w:pStyle w:val="ListBullet"/>
      </w:pPr>
      <w:r>
        <w:t>PERF-AC-2 durable records=0 y candidate state_basis snapshots=0; todos los commits/snapshots efectivos deben permanecer en PERF-AC-1 / PERF-TR-1.</w:t>
      </w:r>
    </w:p>
    <w:p>
      <w:pPr>
        <w:pStyle w:val="ListBullet"/>
      </w:pPr>
      <w:r>
        <w:t>El FunctionalPressure de operational churn debe permanecer íntegro; journal aligned y durable==materialized.</w:t>
      </w:r>
    </w:p>
    <w:p>
      <w:pPr>
        <w:pStyle w:val="Heading1"/>
      </w:pPr>
      <w:r>
        <w:t>6. Instrumentación añadida</w:t>
      </w:r>
    </w:p>
    <w:p>
      <w:r>
        <w:t>Se agrega invalid_candidate_at_seconds / --invalid-candidate-at-seconds, ScheduledInvalidCandidateRevisionSource, TrackedInvalidCandidateRevisionDecoder e InvalidSourceCandidatePressureMetrics. La instrumentación vive sólo en performance/ y no modifica el resolver productivo.</w:t>
      </w:r>
    </w:p>
    <w:p>
      <w:pPr>
        <w:pStyle w:val="Heading1"/>
      </w:pPr>
      <w:r>
        <w:t>7. Archivos modificados</w:t>
      </w:r>
    </w:p>
    <w:p>
      <w:pPr>
        <w:pStyle w:val="ListBullet"/>
      </w:pPr>
      <w:r>
        <w:t>performance/baseline.py</w:t>
      </w:r>
    </w:p>
    <w:p>
      <w:pPr>
        <w:pStyle w:val="ListBullet"/>
      </w:pPr>
      <w:r>
        <w:t>performance/metrics.py</w:t>
      </w:r>
    </w:p>
    <w:p>
      <w:pPr>
        <w:pStyle w:val="ListBullet"/>
      </w:pPr>
      <w:r>
        <w:t>performance/run.py</w:t>
      </w:r>
    </w:p>
    <w:p>
      <w:pPr>
        <w:pStyle w:val="ListBullet"/>
      </w:pPr>
      <w:r>
        <w:t>performance/commented/baseline.py</w:t>
      </w:r>
    </w:p>
    <w:p>
      <w:pPr>
        <w:pStyle w:val="ListBullet"/>
      </w:pPr>
      <w:r>
        <w:t>performance/commented/metrics.py</w:t>
      </w:r>
    </w:p>
    <w:p>
      <w:pPr>
        <w:pStyle w:val="ListBullet"/>
      </w:pPr>
      <w:r>
        <w:t>performance/commented/run.py</w:t>
      </w:r>
    </w:p>
    <w:p>
      <w:pPr>
        <w:pStyle w:val="ListBullet"/>
      </w:pPr>
      <w:r>
        <w:t>tests/test_performance_harness.py</w:t>
      </w:r>
    </w:p>
    <w:p>
      <w:pPr>
        <w:pStyle w:val="Heading1"/>
      </w:pPr>
      <w:r>
        <w:t>8. Regresiones y gate esperado</w:t>
      </w:r>
    </w:p>
    <w:p>
      <w:r>
        <w:t>Se agregan 4 regresiones E-009: construcción del candidate legible/inválido y resolución CACHE_FALLBACK; validación del escenario; inclusión del hard gate en PerformanceRunReport; y reconstrucción independiente de fallback, lecturas Source, fallas contractuales, cache, WAL y snapshot basis. La suite esperada pasa de 324 a 328 tests.</w:t>
      </w:r>
    </w:p>
    <w:p>
      <w:pPr>
        <w:pStyle w:val="Heading1"/>
      </w:pPr>
      <w:r>
        <w:t>9. Validación previa al gate autoritativo</w:t>
      </w:r>
    </w:p>
    <w:p>
      <w:r>
        <w:t>Producción y espejo comentado conservan equivalencia AST para baseline.py, metrics.py y run.py. py_compile pasa para baseline.py, metrics.py, sus espejos y tests. run.py y su espejo parsean al normalizar únicamente la sintaxis PEP 758 preexistente que requiere Python 3.14. El entorno de construcción no dispone de CPython 3.14.2 ni Ruff 0.15.22, por lo que no se declara pytest/Ruff local como evidencia autoritativa.</w:t>
      </w:r>
    </w:p>
    <w:p>
      <w:pPr>
        <w:pStyle w:val="Heading1"/>
      </w:pPr>
      <w:r>
        <w:t>10. Gate autoritativo</w:t>
      </w:r>
    </w:p>
    <w:p>
      <w:r>
        <w:t>Aplicar el ZIP sobre el repo que ya contiene E-008 corrective 0.1.1 y ejecutar Ruff check/format más pytest usando UV + Python 3.14.2. El workload E-009 de 600 s sólo se ejecuta después de obtener 328/328.</w:t>
      </w:r>
    </w:p>
    <w:p>
      <w:pPr>
        <w:jc w:val="right"/>
      </w:pPr>
      <w:r>
        <w:rPr>
          <w:i/>
          <w:sz w:val="18"/>
        </w:rPr>
        <w:t>Atlanticus R3.5E — 29-08-2026</w:t>
      </w:r>
    </w:p>
    <w:sectPr w:rsidR="00FC693F" w:rsidRPr="0006063C"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