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jc w:val="center"/>
      </w:pPr>
      <w:r>
        <w:t>Atlanticus R3.5E — E-011</w:t>
        <w:br/>
        <w:t>Cache Promotion Failure Contract</w:t>
      </w:r>
    </w:p>
    <w:p>
      <w:pPr>
        <w:spacing w:after="40"/>
        <w:jc w:val="center"/>
      </w:pPr>
      <w:r>
        <w:rPr>
          <w:b/>
        </w:rPr>
        <w:t>Design contract v1.0.0 · 30 August 2026</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F2F2F2"/>
          </w:tcPr>
          <w:p>
            <w:r>
              <w:t>Status</w:t>
            </w:r>
          </w:p>
        </w:tc>
        <w:tc>
          <w:tcPr>
            <w:tcW w:type="dxa" w:w="5184"/>
            <w:vAlign w:val="center"/>
            <w:shd w:fill="F2F2F2"/>
          </w:tcPr>
          <w:p>
            <w:r>
              <w:t>CONTRACT READY / AWAITING ACCEPTANCE</w:t>
            </w:r>
          </w:p>
        </w:tc>
      </w:tr>
      <w:tr>
        <w:tc>
          <w:tcPr>
            <w:tcW w:type="dxa" w:w="5184"/>
            <w:vAlign w:val="center"/>
          </w:tcPr>
          <w:p>
            <w:r>
              <w:t>Objective</w:t>
            </w:r>
          </w:p>
        </w:tc>
        <w:tc>
          <w:tcPr>
            <w:tcW w:type="dxa" w:w="5184"/>
            <w:vAlign w:val="center"/>
          </w:tcPr>
          <w:p>
            <w:r>
              <w:t>Validate fail-closed after adoption is durable/materialized but target cache promotion fails.</w:t>
            </w:r>
          </w:p>
        </w:tc>
      </w:tr>
      <w:tr>
        <w:tc>
          <w:tcPr>
            <w:tcW w:type="dxa" w:w="5184"/>
            <w:vAlign w:val="center"/>
            <w:shd w:fill="F2F2F2"/>
          </w:tcPr>
          <w:p>
            <w:r>
              <w:t>Backend</w:t>
            </w:r>
          </w:p>
        </w:tc>
        <w:tc>
          <w:tcPr>
            <w:tcW w:type="dxa" w:w="5184"/>
            <w:vAlign w:val="center"/>
            <w:shd w:fill="F2F2F2"/>
          </w:tcPr>
          <w:p>
            <w:r>
              <w:t>Single-owner Local FS</w:t>
            </w:r>
          </w:p>
        </w:tc>
      </w:tr>
      <w:tr>
        <w:tc>
          <w:tcPr>
            <w:tcW w:type="dxa" w:w="5184"/>
            <w:vAlign w:val="center"/>
          </w:tcPr>
          <w:p>
            <w:r>
              <w:t>Alarm population</w:t>
            </w:r>
          </w:p>
        </w:tc>
        <w:tc>
          <w:tcPr>
            <w:tcW w:type="dxa" w:w="5184"/>
            <w:vAlign w:val="center"/>
          </w:tcPr>
          <w:p>
            <w:r>
              <w:t>1000 alarms; 100 priority groups x 10 alarms</w:t>
            </w:r>
          </w:p>
        </w:tc>
      </w:tr>
      <w:tr>
        <w:tc>
          <w:tcPr>
            <w:tcW w:type="dxa" w:w="5184"/>
            <w:vAlign w:val="center"/>
            <w:shd w:fill="F2F2F2"/>
          </w:tcPr>
          <w:p>
            <w:r>
              <w:t>Data</w:t>
            </w:r>
          </w:p>
        </w:tc>
        <w:tc>
          <w:tcPr>
            <w:tcW w:type="dxa" w:w="5184"/>
            <w:vAlign w:val="center"/>
            <w:shd w:fill="F2F2F2"/>
          </w:tcPr>
          <w:p>
            <w:r>
              <w:t>latest-narrow; 36 balanced partitions; operational churn 10%; initial ACTIVE 50%</w:t>
            </w:r>
          </w:p>
        </w:tc>
      </w:tr>
      <w:tr>
        <w:tc>
          <w:tcPr>
            <w:tcW w:type="dxa" w:w="5184"/>
            <w:vAlign w:val="center"/>
          </w:tcPr>
          <w:p>
            <w:r>
              <w:t>Schedule</w:t>
            </w:r>
          </w:p>
        </w:tc>
        <w:tc>
          <w:tcPr>
            <w:tcW w:type="dxa" w:w="5184"/>
            <w:vAlign w:val="center"/>
          </w:tcPr>
          <w:p>
            <w:r>
              <w:t>600 s configured window; 5 s iteration; 10 s data refresh</w:t>
            </w:r>
          </w:p>
        </w:tc>
      </w:tr>
      <w:tr>
        <w:tc>
          <w:tcPr>
            <w:tcW w:type="dxa" w:w="5184"/>
            <w:vAlign w:val="center"/>
            <w:shd w:fill="F2F2F2"/>
          </w:tcPr>
          <w:p>
            <w:r>
              <w:t>Candidate at</w:t>
            </w:r>
          </w:p>
        </w:tc>
        <w:tc>
          <w:tcPr>
            <w:tcW w:type="dxa" w:w="5184"/>
            <w:vAlign w:val="center"/>
            <w:shd w:fill="F2F2F2"/>
          </w:tcPr>
          <w:p>
            <w:r>
              <w:t>+60 s / expected iteration #13</w:t>
            </w:r>
          </w:p>
        </w:tc>
      </w:tr>
      <w:tr>
        <w:tc>
          <w:tcPr>
            <w:tcW w:type="dxa" w:w="5184"/>
            <w:vAlign w:val="center"/>
          </w:tcPr>
          <w:p>
            <w:r>
              <w:t>Restart/recovery</w:t>
            </w:r>
          </w:p>
        </w:tc>
        <w:tc>
          <w:tcPr>
            <w:tcW w:type="dxa" w:w="5184"/>
            <w:vAlign w:val="center"/>
          </w:tcPr>
          <w:p>
            <w:r>
              <w:t>Out of scope</w:t>
            </w:r>
          </w:p>
        </w:tc>
      </w:tr>
    </w:tbl>
    <w:p>
      <w:pPr>
        <w:pStyle w:val="Heading1"/>
        <w:spacing w:after="40"/>
      </w:pPr>
      <w:r>
        <w:t>1. Frozen scenario</w:t>
      </w:r>
    </w:p>
    <w:p>
      <w:pPr>
        <w:spacing w:after="40"/>
      </w:pPr>
      <w:r>
        <w:t>The source starts at PERF-AC-1 / PERF-TR-1. At +60 seconds the manifest exposes PERF-AC-2 / PERF-TR-1. PERF-AC-2 changes criticality C3 to C2 for alarm_00001..alarm_00050, exactly five complete priority groups. The adoption plan must therefore be 950 UNCHANGED + 50 STRUCTURAL_RESET in groups 001..005.</w:t>
      </w:r>
    </w:p>
    <w:p>
      <w:pPr>
        <w:pStyle w:val="Heading1"/>
        <w:spacing w:after="40"/>
      </w:pPr>
      <w:r>
        <w:t>2. Exact injection point</w:t>
      </w:r>
    </w:p>
    <w:p>
      <w:pPr>
        <w:spacing w:after="40"/>
      </w:pPr>
      <w:r>
        <w:t>The harness uses an instrumented revision-cache wrapper. The first cache replace, used to bootstrap PERF-AC-1 / PERF-TR-1, must succeed normally. The first subsequent replace whose target is PERF-AC-2 / PERF-TR-1 is recorded as a promotion attempt and raises a deterministic InjectedCachePromotionError before delegating to the physical cache. No target bytes or target cache metadata may be written before the exception.</w:t>
      </w:r>
    </w:p>
    <w:p>
      <w:pPr>
        <w:spacing w:after="40"/>
      </w:pPr>
      <w:r>
        <w:t>This is intentionally a pre-mutation promotion failure. A failure after a partial or complete physical cache write has different recovery semantics and is not part of E-011.</w:t>
      </w:r>
    </w:p>
    <w:p>
      <w:pPr>
        <w:pStyle w:val="Heading1"/>
        <w:spacing w:after="40"/>
      </w:pPr>
      <w:r>
        <w:t>3. Required execution semantics</w:t>
      </w:r>
    </w:p>
    <w:p>
      <w:pPr>
        <w:spacing w:after="40"/>
      </w:pPr>
      <w:r>
        <w:t>Iterations #1..#12 complete normally. Iteration #13 resolves the source candidate, executes the 50-alarm structural-reset adoption and persists exactly five target-revision commits. After persistence returns, cache promotion is attempted and fails at the frozen injection point. The exception must escape the product iteration boundary into the performance harness.</w:t>
      </w:r>
    </w:p>
    <w:p>
      <w:pPr>
        <w:spacing w:after="40"/>
      </w:pPr>
      <w:r>
        <w:t>There must be no IterationResult for #13, no iteration #14, no CACHE_FALLBACK continuation and no operational cycle at +60 seconds. The run terminates intentionally even though the configured workload window is 600 seconds. PASS means the fail-closed behavior was demonstrated; it does not mean the workload continued.</w:t>
      </w:r>
    </w:p>
    <w:p>
      <w:pPr>
        <w:pStyle w:val="Heading1"/>
        <w:spacing w:after="40"/>
      </w:pPr>
      <w:r>
        <w:t>4. Durable and lifecycle hard gates</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b/>
              </w:rPr>
              <w:t>Hard gate</w:t>
            </w:r>
          </w:p>
        </w:tc>
        <w:tc>
          <w:tcPr>
            <w:tcW w:type="dxa" w:w="5184"/>
            <w:shd w:fill="D9EAF7"/>
          </w:tcPr>
          <w:p>
            <w:r>
              <w:rPr>
                <w:b/>
              </w:rPr>
              <w:t>Expected evidence</w:t>
            </w:r>
          </w:p>
        </w:tc>
      </w:tr>
      <w:tr>
        <w:tc>
          <w:tcPr>
            <w:tcW w:type="dxa" w:w="5184"/>
          </w:tcPr>
          <w:p>
            <w:r>
              <w:t>Successful samples</w:t>
            </w:r>
          </w:p>
        </w:tc>
        <w:tc>
          <w:tcPr>
            <w:tcW w:type="dxa" w:w="5184"/>
          </w:tcPr>
          <w:p>
            <w:r>
              <w:t>#1..#12 only</w:t>
            </w:r>
          </w:p>
        </w:tc>
      </w:tr>
      <w:tr>
        <w:tc>
          <w:tcPr>
            <w:tcW w:type="dxa" w:w="5184"/>
          </w:tcPr>
          <w:p>
            <w:r>
              <w:t>Failed iteration</w:t>
            </w:r>
          </w:p>
        </w:tc>
        <w:tc>
          <w:tcPr>
            <w:tcW w:type="dxa" w:w="5184"/>
          </w:tcPr>
          <w:p>
            <w:r>
              <w:t>#13 exactly</w:t>
            </w:r>
          </w:p>
        </w:tc>
      </w:tr>
      <w:tr>
        <w:tc>
          <w:tcPr>
            <w:tcW w:type="dxa" w:w="5184"/>
          </w:tcPr>
          <w:p>
            <w:r>
              <w:t>WAL</w:t>
            </w:r>
          </w:p>
        </w:tc>
        <w:tc>
          <w:tcPr>
            <w:tcW w:type="dxa" w:w="5184"/>
          </w:tcPr>
          <w:p>
            <w:r>
              <w:t>155 records = 150 PERF-AC-1 + 5 PERF-AC-2</w:t>
            </w:r>
          </w:p>
        </w:tc>
      </w:tr>
      <w:tr>
        <w:tc>
          <w:tcPr>
            <w:tcW w:type="dxa" w:w="5184"/>
          </w:tcPr>
          <w:p>
            <w:r>
              <w:t>Group geometry</w:t>
            </w:r>
          </w:p>
        </w:tc>
        <w:tc>
          <w:tcPr>
            <w:tcW w:type="dxa" w:w="5184"/>
          </w:tcPr>
          <w:p>
            <w:r>
              <w:t>001..005 = 3 records each; 006..050 = 2 each; 051..100 = 1 each</w:t>
            </w:r>
          </w:p>
        </w:tc>
      </w:tr>
      <w:tr>
        <w:tc>
          <w:tcPr>
            <w:tcW w:type="dxa" w:w="5184"/>
          </w:tcPr>
          <w:p>
            <w:r>
              <w:t>Occurrence lifecycle</w:t>
            </w:r>
          </w:p>
        </w:tc>
        <w:tc>
          <w:tcPr>
            <w:tcW w:type="dxa" w:w="5184"/>
          </w:tcPr>
          <w:p>
            <w:r>
              <w:t>750 STARTED; 275 CLOSED = 250 condition_normalized + 25 configuration_reconfigured</w:t>
            </w:r>
          </w:p>
        </w:tc>
      </w:tr>
      <w:tr>
        <w:tc>
          <w:tcPr>
            <w:tcW w:type="dxa" w:w="5184"/>
          </w:tcPr>
          <w:p>
            <w:r>
              <w:t>Episode lifecycle</w:t>
            </w:r>
          </w:p>
        </w:tc>
        <w:tc>
          <w:tcPr>
            <w:tcW w:type="dxa" w:w="5184"/>
          </w:tcPr>
          <w:p>
            <w:r>
              <w:t>100 STARTED; 5 CLOSED with configuration_terminated</w:t>
            </w:r>
          </w:p>
        </w:tc>
      </w:tr>
      <w:tr>
        <w:tc>
          <w:tcPr>
            <w:tcW w:type="dxa" w:w="5184"/>
          </w:tcPr>
          <w:p>
            <w:r>
              <w:t>Assignments</w:t>
            </w:r>
          </w:p>
        </w:tc>
        <w:tc>
          <w:tcPr>
            <w:tcW w:type="dxa" w:w="5184"/>
          </w:tcPr>
          <w:p>
            <w:r>
              <w:t>750 ASSIGNED</w:t>
            </w:r>
          </w:p>
        </w:tc>
      </w:tr>
      <w:tr>
        <w:tc>
          <w:tcPr>
            <w:tcW w:type="dxa" w:w="5184"/>
          </w:tcPr>
          <w:p>
            <w:r>
              <w:t>Physical cache</w:t>
            </w:r>
          </w:p>
        </w:tc>
        <w:tc>
          <w:tcPr>
            <w:tcW w:type="dxa" w:w="5184"/>
          </w:tcPr>
          <w:p>
            <w:r>
              <w:t>PERF-AC-1 / PERF-TR-1; target successful writes = 0</w:t>
            </w:r>
          </w:p>
        </w:tc>
      </w:tr>
      <w:tr>
        <w:tc>
          <w:tcPr>
            <w:tcW w:type="dxa" w:w="5184"/>
          </w:tcPr>
          <w:p>
            <w:r>
              <w:t>Final operational state</w:t>
            </w:r>
          </w:p>
        </w:tc>
        <w:tc>
          <w:tcPr>
            <w:tcW w:type="dxa" w:w="5184"/>
          </w:tcPr>
          <w:p>
            <w:r>
              <w:t>475 ACTIVE; 475 assignments; 475 open occurrences; 95 open episodes; 0 pending</w:t>
            </w:r>
          </w:p>
        </w:tc>
      </w:tr>
      <w:tr>
        <w:tc>
          <w:tcPr>
            <w:tcW w:type="dxa" w:w="5184"/>
          </w:tcPr>
          <w:p>
            <w:r>
              <w:t>Materialized snapshots</w:t>
            </w:r>
          </w:p>
        </w:tc>
        <w:tc>
          <w:tcPr>
            <w:tcW w:type="dxa" w:w="5184"/>
          </w:tcPr>
          <w:p>
            <w:r>
              <w:t>groups 001..005 empty with last_commit on AC2 adoption; other 95 retain AC1/TR1 state basis</w:t>
            </w:r>
          </w:p>
        </w:tc>
      </w:tr>
      <w:tr>
        <w:tc>
          <w:tcPr>
            <w:tcW w:type="dxa" w:w="5184"/>
          </w:tcPr>
          <w:p>
            <w:r>
              <w:t>Integrity</w:t>
            </w:r>
          </w:p>
        </w:tc>
        <w:tc>
          <w:tcPr>
            <w:tcW w:type="dxa" w:w="5184"/>
          </w:tcPr>
          <w:p>
            <w:r>
              <w:t>0 duplicate commit IDs; 0 commit-chain mismatches; durable == materialized</w:t>
            </w:r>
          </w:p>
        </w:tc>
      </w:tr>
    </w:tbl>
    <w:p>
      <w:pPr>
        <w:pStyle w:val="Heading1"/>
        <w:spacing w:after="40"/>
      </w:pPr>
      <w:r>
        <w:t>5. Why fail-closed is mandatory</w:t>
      </w:r>
    </w:p>
    <w:p>
      <w:pPr>
        <w:spacing w:after="40"/>
      </w:pPr>
      <w:r>
        <w:t>At the failure point, five priority groups have already been reset and materialized under the target revision, while the effective cache still identifies the old revision. Continuing another operational cycle with the old cache would mix a target-revision durable state with old-revision execution authority. E-011 therefore treats the durable-target/cache-old divergence as expected evidence that execution must stop, not as permission to fall back and continue.</w:t>
      </w:r>
    </w:p>
    <w:p>
      <w:pPr>
        <w:pStyle w:val="Heading1"/>
        <w:spacing w:after="40"/>
      </w:pPr>
      <w:r>
        <w:t>6. Explicit non-goals</w:t>
      </w:r>
    </w:p>
    <w:p>
      <w:pPr>
        <w:spacing w:after="40"/>
      </w:pPr>
      <w:r>
        <w:t>E-011 does not validate restart recovery, replay after process restart, partial cache-file corruption, a failure after the target cache has already been written, multi-owner lease takeover, or SMB semantics. Those behaviors must remain separate probes if they are needed later.</w:t>
      </w:r>
    </w:p>
    <w:p>
      <w:pPr>
        <w:pStyle w:val="Heading1"/>
        <w:spacing w:after="40"/>
      </w:pPr>
      <w:r>
        <w:t>7. Implementation boundary after acceptance</w:t>
      </w:r>
    </w:p>
    <w:p>
      <w:pPr>
        <w:spacing w:after="40"/>
      </w:pPr>
      <w:r>
        <w:t>Only after this contract is accepted may the performance harness be changed. The implementation should be isolated to the performance harness, tests and commented mirror. No product, Core, Persistence, version, dependency or lock change is expected for the injection itself.</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