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30"/>
        <w:jc w:val="center"/>
      </w:pPr>
      <w:r>
        <w:t>Atlanticus R3.5E — E-011</w:t>
        <w:br/>
        <w:t>Closure Checkpoint</w:t>
      </w:r>
    </w:p>
    <w:p>
      <w:pPr>
        <w:spacing w:before="0" w:after="30"/>
        <w:jc w:val="center"/>
      </w:pPr>
      <w:r>
        <w:rPr>
          <w:b/>
        </w:rPr>
        <w:t>Cache promotion failure · v1.0.0 · 30 August 2026</w:t>
      </w:r>
    </w:p>
    <w:tbl>
      <w:tblPr>
        <w:tblStyle w:val="TableGrid"/>
        <w:tblW w:type="auto" w:w="0"/>
        <w:jc w:val="center"/>
        <w:tblLook w:firstColumn="1" w:firstRow="1" w:lastColumn="0" w:lastRow="0" w:noHBand="0" w:noVBand="1" w:val="04A0"/>
      </w:tblPr>
      <w:tblGrid>
        <w:gridCol w:w="5227"/>
        <w:gridCol w:w="5227"/>
      </w:tblGrid>
      <w:tr>
        <w:tc>
          <w:tcPr>
            <w:tcW w:type="dxa" w:w="5227"/>
            <w:shd w:fill="F2F2F2"/>
          </w:tcPr>
          <w:p>
            <w:pPr>
              <w:spacing w:before="0" w:after="0"/>
            </w:pPr>
            <w:r>
              <w:rPr>
                <w:sz w:val="16"/>
              </w:rPr>
              <w:t>Status</w:t>
            </w:r>
          </w:p>
        </w:tc>
        <w:tc>
          <w:tcPr>
            <w:tcW w:type="dxa" w:w="5227"/>
            <w:shd w:fill="F2F2F2"/>
          </w:tcPr>
          <w:p>
            <w:pPr>
              <w:spacing w:before="0" w:after="0"/>
            </w:pPr>
            <w:r>
              <w:rPr>
                <w:sz w:val="16"/>
              </w:rPr>
              <w:t>CLOSED PASS/GREEN</w:t>
            </w:r>
          </w:p>
        </w:tc>
      </w:tr>
      <w:tr>
        <w:tc>
          <w:tcPr>
            <w:tcW w:type="dxa" w:w="5227"/>
          </w:tcPr>
          <w:p>
            <w:pPr>
              <w:spacing w:before="0" w:after="0"/>
            </w:pPr>
            <w:r>
              <w:rPr>
                <w:sz w:val="16"/>
              </w:rPr>
              <w:t>Authoritative run</w:t>
            </w:r>
          </w:p>
        </w:tc>
        <w:tc>
          <w:tcPr>
            <w:tcW w:type="dxa" w:w="5227"/>
          </w:tcPr>
          <w:p>
            <w:pPr>
              <w:spacing w:before="0" w:after="0"/>
            </w:pPr>
            <w:r>
              <w:rPr>
                <w:sz w:val="16"/>
              </w:rPr>
              <w:t>7e3f5424-d327-42a2-8882-767bf23695c7</w:t>
            </w:r>
          </w:p>
        </w:tc>
      </w:tr>
      <w:tr>
        <w:tc>
          <w:tcPr>
            <w:tcW w:type="dxa" w:w="5227"/>
            <w:shd w:fill="F2F2F2"/>
          </w:tcPr>
          <w:p>
            <w:pPr>
              <w:spacing w:before="0" w:after="0"/>
            </w:pPr>
            <w:r>
              <w:rPr>
                <w:sz w:val="16"/>
              </w:rPr>
              <w:t>Stage commit</w:t>
            </w:r>
          </w:p>
        </w:tc>
        <w:tc>
          <w:tcPr>
            <w:tcW w:type="dxa" w:w="5227"/>
            <w:shd w:fill="F2F2F2"/>
          </w:tcPr>
          <w:p>
            <w:pPr>
              <w:spacing w:before="0" w:after="0"/>
            </w:pPr>
            <w:r>
              <w:rPr>
                <w:sz w:val="16"/>
              </w:rPr>
              <w:t>489b7424f5051f7a276dafe8d5f318ccf1368d87</w:t>
            </w:r>
          </w:p>
        </w:tc>
      </w:tr>
      <w:tr>
        <w:tc>
          <w:tcPr>
            <w:tcW w:type="dxa" w:w="5227"/>
          </w:tcPr>
          <w:p>
            <w:pPr>
              <w:spacing w:before="0" w:after="0"/>
            </w:pPr>
            <w:r>
              <w:rPr>
                <w:sz w:val="16"/>
              </w:rPr>
              <w:t>Host / Python</w:t>
            </w:r>
          </w:p>
        </w:tc>
        <w:tc>
          <w:tcPr>
            <w:tcW w:type="dxa" w:w="5227"/>
          </w:tcPr>
          <w:p>
            <w:pPr>
              <w:spacing w:before="0" w:after="0"/>
            </w:pPr>
            <w:r>
              <w:rPr>
                <w:sz w:val="16"/>
              </w:rPr>
              <w:t>GLONBW11 / Python 3.14.2 via UV</w:t>
            </w:r>
          </w:p>
        </w:tc>
      </w:tr>
      <w:tr>
        <w:tc>
          <w:tcPr>
            <w:tcW w:type="dxa" w:w="5227"/>
            <w:shd w:fill="F2F2F2"/>
          </w:tcPr>
          <w:p>
            <w:pPr>
              <w:spacing w:before="0" w:after="0"/>
            </w:pPr>
            <w:r>
              <w:rPr>
                <w:sz w:val="16"/>
              </w:rPr>
              <w:t>Harness</w:t>
            </w:r>
          </w:p>
        </w:tc>
        <w:tc>
          <w:tcPr>
            <w:tcW w:type="dxa" w:w="5227"/>
            <w:shd w:fill="F2F2F2"/>
          </w:tcPr>
          <w:p>
            <w:pPr>
              <w:spacing w:before="0" w:after="0"/>
            </w:pPr>
            <w:r>
              <w:rPr>
                <w:sz w:val="16"/>
              </w:rPr>
              <w:t>0.1.2 — gate 336/336 in 6.17 s</w:t>
            </w:r>
          </w:p>
        </w:tc>
      </w:tr>
      <w:tr>
        <w:tc>
          <w:tcPr>
            <w:tcW w:type="dxa" w:w="5227"/>
          </w:tcPr>
          <w:p>
            <w:pPr>
              <w:spacing w:before="0" w:after="0"/>
            </w:pPr>
            <w:r>
              <w:rPr>
                <w:sz w:val="16"/>
              </w:rPr>
              <w:t>Backend</w:t>
            </w:r>
          </w:p>
        </w:tc>
        <w:tc>
          <w:tcPr>
            <w:tcW w:type="dxa" w:w="5227"/>
          </w:tcPr>
          <w:p>
            <w:pPr>
              <w:spacing w:before="0" w:after="0"/>
            </w:pPr>
            <w:r>
              <w:rPr>
                <w:sz w:val="16"/>
              </w:rPr>
              <w:t>Single-owner Local FS</w:t>
            </w:r>
          </w:p>
        </w:tc>
      </w:tr>
      <w:tr>
        <w:tc>
          <w:tcPr>
            <w:tcW w:type="dxa" w:w="5227"/>
            <w:shd w:fill="F2F2F2"/>
          </w:tcPr>
          <w:p>
            <w:pPr>
              <w:spacing w:before="0" w:after="0"/>
            </w:pPr>
            <w:r>
              <w:rPr>
                <w:sz w:val="16"/>
              </w:rPr>
              <w:t>Controlled duration</w:t>
            </w:r>
          </w:p>
        </w:tc>
        <w:tc>
          <w:tcPr>
            <w:tcW w:type="dxa" w:w="5227"/>
            <w:shd w:fill="F2F2F2"/>
          </w:tcPr>
          <w:p>
            <w:pPr>
              <w:spacing w:before="0" w:after="0"/>
            </w:pPr>
            <w:r>
              <w:rPr>
                <w:sz w:val="16"/>
              </w:rPr>
              <w:t>60.382 s actual / 600 s configured window</w:t>
            </w:r>
          </w:p>
        </w:tc>
      </w:tr>
      <w:tr>
        <w:tc>
          <w:tcPr>
            <w:tcW w:type="dxa" w:w="5227"/>
          </w:tcPr>
          <w:p>
            <w:pPr>
              <w:spacing w:before="0" w:after="0"/>
            </w:pPr>
            <w:r>
              <w:rPr>
                <w:sz w:val="16"/>
              </w:rPr>
              <w:t>Result</w:t>
            </w:r>
          </w:p>
        </w:tc>
        <w:tc>
          <w:tcPr>
            <w:tcW w:type="dxa" w:w="5227"/>
          </w:tcPr>
          <w:p>
            <w:pPr>
              <w:spacing w:before="0" w:after="0"/>
            </w:pPr>
            <w:r>
              <w:rPr>
                <w:sz w:val="16"/>
              </w:rPr>
              <w:t>PASS / integrity_ok=true / GREEN / 0 overruns</w:t>
            </w:r>
          </w:p>
        </w:tc>
      </w:tr>
    </w:tbl>
    <w:p>
      <w:pPr>
        <w:pStyle w:val="Heading1"/>
        <w:spacing w:before="0" w:after="30"/>
      </w:pPr>
      <w:r>
        <w:t>Fail-closed contract</w:t>
      </w:r>
    </w:p>
    <w:p>
      <w:pPr>
        <w:spacing w:before="0" w:after="30"/>
      </w:pPr>
      <w:r>
        <w:t>Iterations #1 through #12 completed normally. During iteration #13, the runtime materialized exactly five PERF-AC-2 structural-reset commits and then raised InjectedCachePromotionError before the target cache was physically mutated. The target promotion attempt/failure/success counts are 1/1/0. The final physical cache remains PERF-AC-1 / PERF-TR-1. There is no IterationResult #13, no iteration #14 and no target operational continuation.</w:t>
      </w:r>
    </w:p>
    <w:p>
      <w:pPr>
        <w:pStyle w:val="Heading1"/>
        <w:spacing w:before="0" w:after="30"/>
      </w:pPr>
      <w:r>
        <w:t>Independent WAL and snapshot audit</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pPr>
              <w:spacing w:before="0" w:after="0"/>
            </w:pPr>
            <w:r>
              <w:rPr>
                <w:b/>
                <w:sz w:val="16"/>
              </w:rPr>
              <w:t>Evidence</w:t>
            </w:r>
          </w:p>
        </w:tc>
        <w:tc>
          <w:tcPr>
            <w:tcW w:type="dxa" w:w="5227"/>
            <w:shd w:fill="D9EAF7"/>
          </w:tcPr>
          <w:p>
            <w:pPr>
              <w:spacing w:before="0" w:after="0"/>
            </w:pPr>
            <w:r>
              <w:rPr>
                <w:b/>
                <w:sz w:val="16"/>
              </w:rPr>
              <w:t>Observed</w:t>
            </w:r>
          </w:p>
        </w:tc>
      </w:tr>
      <w:tr>
        <w:tc>
          <w:tcPr>
            <w:tcW w:type="dxa" w:w="5227"/>
          </w:tcPr>
          <w:p>
            <w:pPr>
              <w:spacing w:before="0" w:after="0"/>
            </w:pPr>
            <w:r>
              <w:rPr>
                <w:sz w:val="16"/>
              </w:rPr>
              <w:t>WAL</w:t>
            </w:r>
          </w:p>
        </w:tc>
        <w:tc>
          <w:tcPr>
            <w:tcW w:type="dxa" w:w="5227"/>
          </w:tcPr>
          <w:p>
            <w:pPr>
              <w:spacing w:before="0" w:after="0"/>
            </w:pPr>
            <w:r>
              <w:rPr>
                <w:sz w:val="16"/>
              </w:rPr>
              <w:t>155 records / 1,858,175 bytes</w:t>
            </w:r>
          </w:p>
        </w:tc>
      </w:tr>
      <w:tr>
        <w:tc>
          <w:tcPr>
            <w:tcW w:type="dxa" w:w="5227"/>
          </w:tcPr>
          <w:p>
            <w:pPr>
              <w:spacing w:before="0" w:after="0"/>
            </w:pPr>
            <w:r>
              <w:rPr>
                <w:sz w:val="16"/>
              </w:rPr>
              <w:t>Revision geometry</w:t>
            </w:r>
          </w:p>
        </w:tc>
        <w:tc>
          <w:tcPr>
            <w:tcW w:type="dxa" w:w="5227"/>
          </w:tcPr>
          <w:p>
            <w:pPr>
              <w:spacing w:before="0" w:after="0"/>
            </w:pPr>
            <w:r>
              <w:rPr>
                <w:sz w:val="16"/>
              </w:rPr>
              <w:t>150 PERF-AC-1 + 5 PERF-AC-2</w:t>
            </w:r>
          </w:p>
        </w:tc>
      </w:tr>
      <w:tr>
        <w:tc>
          <w:tcPr>
            <w:tcW w:type="dxa" w:w="5227"/>
          </w:tcPr>
          <w:p>
            <w:pPr>
              <w:spacing w:before="0" w:after="0"/>
            </w:pPr>
            <w:r>
              <w:rPr>
                <w:sz w:val="16"/>
              </w:rPr>
              <w:t>Group geometry</w:t>
            </w:r>
          </w:p>
        </w:tc>
        <w:tc>
          <w:tcPr>
            <w:tcW w:type="dxa" w:w="5227"/>
          </w:tcPr>
          <w:p>
            <w:pPr>
              <w:spacing w:before="0" w:after="0"/>
            </w:pPr>
            <w:r>
              <w:rPr>
                <w:sz w:val="16"/>
              </w:rPr>
              <w:t>50 groups×1 + 45 groups×2 + 5 groups×3</w:t>
            </w:r>
          </w:p>
        </w:tc>
      </w:tr>
      <w:tr>
        <w:tc>
          <w:tcPr>
            <w:tcW w:type="dxa" w:w="5227"/>
          </w:tcPr>
          <w:p>
            <w:pPr>
              <w:spacing w:before="0" w:after="0"/>
            </w:pPr>
            <w:r>
              <w:rPr>
                <w:sz w:val="16"/>
              </w:rPr>
              <w:t>Duplicate commit IDs</w:t>
            </w:r>
          </w:p>
        </w:tc>
        <w:tc>
          <w:tcPr>
            <w:tcW w:type="dxa" w:w="5227"/>
          </w:tcPr>
          <w:p>
            <w:pPr>
              <w:spacing w:before="0" w:after="0"/>
            </w:pPr>
            <w:r>
              <w:rPr>
                <w:sz w:val="16"/>
              </w:rPr>
              <w:t>0</w:t>
            </w:r>
          </w:p>
        </w:tc>
      </w:tr>
      <w:tr>
        <w:tc>
          <w:tcPr>
            <w:tcW w:type="dxa" w:w="5227"/>
          </w:tcPr>
          <w:p>
            <w:pPr>
              <w:spacing w:before="0" w:after="0"/>
            </w:pPr>
            <w:r>
              <w:rPr>
                <w:sz w:val="16"/>
              </w:rPr>
              <w:t>Commit-chain mismatches</w:t>
            </w:r>
          </w:p>
        </w:tc>
        <w:tc>
          <w:tcPr>
            <w:tcW w:type="dxa" w:w="5227"/>
          </w:tcPr>
          <w:p>
            <w:pPr>
              <w:spacing w:before="0" w:after="0"/>
            </w:pPr>
            <w:r>
              <w:rPr>
                <w:sz w:val="16"/>
              </w:rPr>
              <w:t>0</w:t>
            </w:r>
          </w:p>
        </w:tc>
      </w:tr>
      <w:tr>
        <w:tc>
          <w:tcPr>
            <w:tcW w:type="dxa" w:w="5227"/>
          </w:tcPr>
          <w:p>
            <w:pPr>
              <w:spacing w:before="0" w:after="0"/>
            </w:pPr>
            <w:r>
              <w:rPr>
                <w:sz w:val="16"/>
              </w:rPr>
              <w:t>Snapshot last_commit mismatches</w:t>
            </w:r>
          </w:p>
        </w:tc>
        <w:tc>
          <w:tcPr>
            <w:tcW w:type="dxa" w:w="5227"/>
          </w:tcPr>
          <w:p>
            <w:pPr>
              <w:spacing w:before="0" w:after="0"/>
            </w:pPr>
            <w:r>
              <w:rPr>
                <w:sz w:val="16"/>
              </w:rPr>
              <w:t>0</w:t>
            </w:r>
          </w:p>
        </w:tc>
      </w:tr>
      <w:tr>
        <w:tc>
          <w:tcPr>
            <w:tcW w:type="dxa" w:w="5227"/>
          </w:tcPr>
          <w:p>
            <w:pPr>
              <w:spacing w:before="0" w:after="0"/>
            </w:pPr>
            <w:r>
              <w:rPr>
                <w:sz w:val="16"/>
              </w:rPr>
              <w:t>Journal head</w:t>
            </w:r>
          </w:p>
        </w:tc>
        <w:tc>
          <w:tcPr>
            <w:tcW w:type="dxa" w:w="5227"/>
          </w:tcPr>
          <w:p>
            <w:pPr>
              <w:spacing w:before="0" w:after="0"/>
            </w:pPr>
            <w:r>
              <w:rPr>
                <w:sz w:val="16"/>
              </w:rPr>
              <w:t>durable == materialized</w:t>
            </w:r>
          </w:p>
        </w:tc>
      </w:tr>
      <w:tr>
        <w:tc>
          <w:tcPr>
            <w:tcW w:type="dxa" w:w="5227"/>
          </w:tcPr>
          <w:p>
            <w:pPr>
              <w:spacing w:before="0" w:after="0"/>
            </w:pPr>
            <w:r>
              <w:rPr>
                <w:sz w:val="16"/>
              </w:rPr>
              <w:t>Source state-basis snapshots</w:t>
            </w:r>
          </w:p>
        </w:tc>
        <w:tc>
          <w:tcPr>
            <w:tcW w:type="dxa" w:w="5227"/>
          </w:tcPr>
          <w:p>
            <w:pPr>
              <w:spacing w:before="0" w:after="0"/>
            </w:pPr>
            <w:r>
              <w:rPr>
                <w:sz w:val="16"/>
              </w:rPr>
              <w:t>95</w:t>
            </w:r>
          </w:p>
        </w:tc>
      </w:tr>
      <w:tr>
        <w:tc>
          <w:tcPr>
            <w:tcW w:type="dxa" w:w="5227"/>
          </w:tcPr>
          <w:p>
            <w:pPr>
              <w:spacing w:before="0" w:after="0"/>
            </w:pPr>
            <w:r>
              <w:rPr>
                <w:sz w:val="16"/>
              </w:rPr>
              <w:t>Target state-basis snapshots</w:t>
            </w:r>
          </w:p>
        </w:tc>
        <w:tc>
          <w:tcPr>
            <w:tcW w:type="dxa" w:w="5227"/>
          </w:tcPr>
          <w:p>
            <w:pPr>
              <w:spacing w:before="0" w:after="0"/>
            </w:pPr>
            <w:r>
              <w:rPr>
                <w:sz w:val="16"/>
              </w:rPr>
              <w:t>0, expected for empty reset groups</w:t>
            </w:r>
          </w:p>
        </w:tc>
      </w:tr>
      <w:tr>
        <w:tc>
          <w:tcPr>
            <w:tcW w:type="dxa" w:w="5227"/>
          </w:tcPr>
          <w:p>
            <w:pPr>
              <w:spacing w:before="0" w:after="0"/>
            </w:pPr>
            <w:r>
              <w:rPr>
                <w:sz w:val="16"/>
              </w:rPr>
              <w:t>Reset snapshots</w:t>
            </w:r>
          </w:p>
        </w:tc>
        <w:tc>
          <w:tcPr>
            <w:tcW w:type="dxa" w:w="5227"/>
          </w:tcPr>
          <w:p>
            <w:pPr>
              <w:spacing w:before="0" w:after="0"/>
            </w:pPr>
            <w:r>
              <w:rPr>
                <w:sz w:val="16"/>
              </w:rPr>
              <w:t>5/5 empty; 5/5 without state_basis</w:t>
            </w:r>
          </w:p>
        </w:tc>
      </w:tr>
      <w:tr>
        <w:tc>
          <w:tcPr>
            <w:tcW w:type="dxa" w:w="5227"/>
          </w:tcPr>
          <w:p>
            <w:pPr>
              <w:spacing w:before="0" w:after="0"/>
            </w:pPr>
            <w:r>
              <w:rPr>
                <w:sz w:val="16"/>
              </w:rPr>
              <w:t>Reset target linkage</w:t>
            </w:r>
          </w:p>
        </w:tc>
        <w:tc>
          <w:tcPr>
            <w:tcW w:type="dxa" w:w="5227"/>
          </w:tcPr>
          <w:p>
            <w:pPr>
              <w:spacing w:before="0" w:after="0"/>
            </w:pPr>
            <w:r>
              <w:rPr>
                <w:sz w:val="16"/>
              </w:rPr>
              <w:t>5/5 last_commit_id matches the corresponding AC2 adoption commit</w:t>
            </w:r>
          </w:p>
        </w:tc>
      </w:tr>
    </w:tbl>
    <w:p>
      <w:pPr>
        <w:pStyle w:val="Heading1"/>
        <w:spacing w:before="0" w:after="30"/>
      </w:pPr>
      <w:r>
        <w:t>Lifecycle and final state</w:t>
      </w:r>
    </w:p>
    <w:p>
      <w:pPr>
        <w:spacing w:before="0" w:after="30"/>
      </w:pPr>
      <w:r>
        <w:t>Lifecycle evidence is exact: 750 occurrence STARTED and 275 CLOSED, composed of 250 condition_normalized and 25 configuration_reconfigured closures; 100 episode STARTED and 5 CLOSED with configuration_terminated; 750 assignments. Occurrence and episode identity reuse are zero. Final materialized state is 475 alarms, 475 assignments, 475 open occurrences, 95 open episodes and 0 pending assignments.</w:t>
      </w:r>
    </w:p>
    <w:p>
      <w:pPr>
        <w:pStyle w:val="Heading1"/>
        <w:spacing w:before="0" w:after="30"/>
      </w:pPr>
      <w:r>
        <w:t>Performance characterization</w:t>
      </w:r>
    </w:p>
    <w:p>
      <w:pPr>
        <w:spacing w:before="0" w:after="30"/>
      </w:pPr>
      <w:r>
        <w:t>Iteration p50/p95/p99/max was 933.14 / 1226.98 / 1435.56 / 1487.70 ms. Average/peak CPU was 92.44% / 100.20%; average/peak RSS was 136.47 / 137.09 MB. There were no overruns. Because this probe terminates intentionally at +60 seconds, these values are retained as characterization only and no performance finding is opened.</w:t>
      </w:r>
    </w:p>
    <w:p>
      <w:pPr>
        <w:pStyle w:val="Heading1"/>
        <w:spacing w:before="0" w:after="30"/>
      </w:pPr>
      <w:r>
        <w:t>Evidence and disposition</w:t>
      </w:r>
    </w:p>
    <w:p>
      <w:pPr>
        <w:spacing w:before="0" w:after="30"/>
      </w:pPr>
      <w:r>
        <w:t>E-011-results.zip SHA-256: c9384f64cde96822bf2868f8fc4c32a63285fa207a9585f8658f1ba43d62b652</w:t>
        <w:br/>
        <w:t>E-011-work.zip SHA-256: 0bbaf9b1fc1eab0f815fbe45044a18e5e5c9a35fad243734f4161aebb4c1449c</w:t>
        <w:br/>
        <w:br/>
        <w:t>The previous E-011 workload remains NOT ADJUDICATED because it was affected only by the earlier snapshot adjudicator defect. It is not aggregated into this authoritative result. No product or performance finding is opened. Next campaign item: E-012 — Drain under workload, design phase.</w:t>
      </w:r>
    </w:p>
    <w:sectPr w:rsidR="00FC693F" w:rsidRPr="0006063C" w:rsidSect="00034616">
      <w:pgSz w:w="12240" w:h="15840"/>
      <w:pgMar w:top="691" w:right="893" w:bottom="691"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35"/>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