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
        <w:jc w:val="center"/>
      </w:pPr>
      <w:r>
        <w:t>Atlanticus R3.5E — E-012</w:t>
        <w:br/>
        <w:t>Closure Checkpoint</w:t>
      </w:r>
    </w:p>
    <w:p>
      <w:pPr>
        <w:spacing w:before="0" w:after="24"/>
        <w:jc w:val="center"/>
      </w:pPr>
      <w:r>
        <w:rPr>
          <w:b/>
        </w:rPr>
        <w:t>Drain under workload · Product fix verified end-to-end · 30 August 2026</w:t>
      </w:r>
    </w:p>
    <w:tbl>
      <w:tblPr>
        <w:tblStyle w:val="TableGrid"/>
        <w:tblW w:type="auto" w:w="0"/>
        <w:jc w:val="center"/>
        <w:tblLook w:firstColumn="1" w:firstRow="1" w:lastColumn="0" w:lastRow="0" w:noHBand="0" w:noVBand="1" w:val="04A0"/>
      </w:tblPr>
      <w:tblGrid>
        <w:gridCol w:w="5256"/>
        <w:gridCol w:w="5256"/>
      </w:tblGrid>
      <w:tr>
        <w:tc>
          <w:tcPr>
            <w:tcW w:type="dxa" w:w="5256"/>
            <w:shd w:fill="F2F2F2"/>
          </w:tcPr>
          <w:p>
            <w:pPr>
              <w:spacing w:before="0" w:after="0"/>
            </w:pPr>
            <w:r>
              <w:rPr>
                <w:sz w:val="15"/>
              </w:rPr>
              <w:t>Status</w:t>
            </w:r>
          </w:p>
        </w:tc>
        <w:tc>
          <w:tcPr>
            <w:tcW w:type="dxa" w:w="5256"/>
            <w:shd w:fill="F2F2F2"/>
          </w:tcPr>
          <w:p>
            <w:pPr>
              <w:spacing w:before="0" w:after="0"/>
            </w:pPr>
            <w:r>
              <w:rPr>
                <w:sz w:val="15"/>
              </w:rPr>
              <w:t>CLOSED PASS/GREEN</w:t>
            </w:r>
          </w:p>
        </w:tc>
      </w:tr>
      <w:tr>
        <w:tc>
          <w:tcPr>
            <w:tcW w:type="dxa" w:w="5256"/>
          </w:tcPr>
          <w:p>
            <w:pPr>
              <w:spacing w:before="0" w:after="0"/>
            </w:pPr>
            <w:r>
              <w:rPr>
                <w:sz w:val="15"/>
              </w:rPr>
              <w:t>Authoritative run</w:t>
            </w:r>
          </w:p>
        </w:tc>
        <w:tc>
          <w:tcPr>
            <w:tcW w:type="dxa" w:w="5256"/>
          </w:tcPr>
          <w:p>
            <w:pPr>
              <w:spacing w:before="0" w:after="0"/>
            </w:pPr>
            <w:r>
              <w:rPr>
                <w:sz w:val="15"/>
              </w:rPr>
              <w:t>35c1dbfe-9cee-46f5-8275-7479bc6c1aba</w:t>
            </w:r>
          </w:p>
        </w:tc>
      </w:tr>
      <w:tr>
        <w:tc>
          <w:tcPr>
            <w:tcW w:type="dxa" w:w="5256"/>
            <w:shd w:fill="F2F2F2"/>
          </w:tcPr>
          <w:p>
            <w:pPr>
              <w:spacing w:before="0" w:after="0"/>
            </w:pPr>
            <w:r>
              <w:rPr>
                <w:sz w:val="15"/>
              </w:rPr>
              <w:t>Stage commit</w:t>
            </w:r>
          </w:p>
        </w:tc>
        <w:tc>
          <w:tcPr>
            <w:tcW w:type="dxa" w:w="5256"/>
            <w:shd w:fill="F2F2F2"/>
          </w:tcPr>
          <w:p>
            <w:pPr>
              <w:spacing w:before="0" w:after="0"/>
            </w:pPr>
            <w:r>
              <w:rPr>
                <w:sz w:val="15"/>
              </w:rPr>
              <w:t>489b7424f5051f7a276dafe8d5f318ccf1368d87</w:t>
            </w:r>
          </w:p>
        </w:tc>
      </w:tr>
      <w:tr>
        <w:tc>
          <w:tcPr>
            <w:tcW w:type="dxa" w:w="5256"/>
          </w:tcPr>
          <w:p>
            <w:pPr>
              <w:spacing w:before="0" w:after="0"/>
            </w:pPr>
            <w:r>
              <w:rPr>
                <w:sz w:val="15"/>
              </w:rPr>
              <w:t>Host / Python</w:t>
            </w:r>
          </w:p>
        </w:tc>
        <w:tc>
          <w:tcPr>
            <w:tcW w:type="dxa" w:w="5256"/>
          </w:tcPr>
          <w:p>
            <w:pPr>
              <w:spacing w:before="0" w:after="0"/>
            </w:pPr>
            <w:r>
              <w:rPr>
                <w:sz w:val="15"/>
              </w:rPr>
              <w:t>GLONBW11 / Python 3.14.2 via UV</w:t>
            </w:r>
          </w:p>
        </w:tc>
      </w:tr>
      <w:tr>
        <w:tc>
          <w:tcPr>
            <w:tcW w:type="dxa" w:w="5256"/>
            <w:shd w:fill="F2F2F2"/>
          </w:tcPr>
          <w:p>
            <w:pPr>
              <w:spacing w:before="0" w:after="0"/>
            </w:pPr>
            <w:r>
              <w:rPr>
                <w:sz w:val="15"/>
              </w:rPr>
              <w:t>Harness gate</w:t>
            </w:r>
          </w:p>
        </w:tc>
        <w:tc>
          <w:tcPr>
            <w:tcW w:type="dxa" w:w="5256"/>
            <w:shd w:fill="F2F2F2"/>
          </w:tcPr>
          <w:p>
            <w:pPr>
              <w:spacing w:before="0" w:after="0"/>
            </w:pPr>
            <w:r>
              <w:rPr>
                <w:sz w:val="15"/>
              </w:rPr>
              <w:t>340/340</w:t>
            </w:r>
          </w:p>
        </w:tc>
      </w:tr>
      <w:tr>
        <w:tc>
          <w:tcPr>
            <w:tcW w:type="dxa" w:w="5256"/>
          </w:tcPr>
          <w:p>
            <w:pPr>
              <w:spacing w:before="0" w:after="0"/>
            </w:pPr>
            <w:r>
              <w:rPr>
                <w:sz w:val="15"/>
              </w:rPr>
              <w:t>Product fix gate</w:t>
            </w:r>
          </w:p>
        </w:tc>
        <w:tc>
          <w:tcPr>
            <w:tcW w:type="dxa" w:w="5256"/>
          </w:tcPr>
          <w:p>
            <w:pPr>
              <w:spacing w:before="0" w:after="0"/>
            </w:pPr>
            <w:r>
              <w:rPr>
                <w:sz w:val="15"/>
              </w:rPr>
              <w:t>344/344 in 6.15 s</w:t>
            </w:r>
          </w:p>
        </w:tc>
      </w:tr>
      <w:tr>
        <w:tc>
          <w:tcPr>
            <w:tcW w:type="dxa" w:w="5256"/>
            <w:shd w:fill="F2F2F2"/>
          </w:tcPr>
          <w:p>
            <w:pPr>
              <w:spacing w:before="0" w:after="0"/>
            </w:pPr>
            <w:r>
              <w:rPr>
                <w:sz w:val="15"/>
              </w:rPr>
              <w:t>Actual duration</w:t>
            </w:r>
          </w:p>
        </w:tc>
        <w:tc>
          <w:tcPr>
            <w:tcW w:type="dxa" w:w="5256"/>
            <w:shd w:fill="F2F2F2"/>
          </w:tcPr>
          <w:p>
            <w:pPr>
              <w:spacing w:before="0" w:after="0"/>
            </w:pPr>
            <w:r>
              <w:rPr>
                <w:sz w:val="15"/>
              </w:rPr>
              <w:t>305.476 s</w:t>
            </w:r>
          </w:p>
        </w:tc>
      </w:tr>
      <w:tr>
        <w:tc>
          <w:tcPr>
            <w:tcW w:type="dxa" w:w="5256"/>
          </w:tcPr>
          <w:p>
            <w:pPr>
              <w:spacing w:before="0" w:after="0"/>
            </w:pPr>
            <w:r>
              <w:rPr>
                <w:sz w:val="15"/>
              </w:rPr>
              <w:t>Drain duration</w:t>
            </w:r>
          </w:p>
        </w:tc>
        <w:tc>
          <w:tcPr>
            <w:tcW w:type="dxa" w:w="5256"/>
          </w:tcPr>
          <w:p>
            <w:pPr>
              <w:spacing w:before="0" w:after="0"/>
            </w:pPr>
            <w:r>
              <w:rPr>
                <w:sz w:val="15"/>
              </w:rPr>
              <w:t>834.39 ms</w:t>
            </w:r>
          </w:p>
        </w:tc>
      </w:tr>
      <w:tr>
        <w:tc>
          <w:tcPr>
            <w:tcW w:type="dxa" w:w="5256"/>
            <w:shd w:fill="F2F2F2"/>
          </w:tcPr>
          <w:p>
            <w:pPr>
              <w:spacing w:before="0" w:after="0"/>
            </w:pPr>
            <w:r>
              <w:rPr>
                <w:sz w:val="15"/>
              </w:rPr>
              <w:t>Finding</w:t>
            </w:r>
          </w:p>
        </w:tc>
        <w:tc>
          <w:tcPr>
            <w:tcW w:type="dxa" w:w="5256"/>
            <w:shd w:fill="F2F2F2"/>
          </w:tcPr>
          <w:p>
            <w:pPr>
              <w:spacing w:before="0" w:after="0"/>
            </w:pPr>
            <w:r>
              <w:rPr>
                <w:sz w:val="15"/>
              </w:rPr>
              <w:t>F-E012-001 Closed — Fix Verified End-to-End</w:t>
            </w:r>
          </w:p>
        </w:tc>
      </w:tr>
    </w:tbl>
    <w:p>
      <w:pPr>
        <w:pStyle w:val="Heading1"/>
        <w:spacing w:before="0" w:after="24"/>
      </w:pPr>
      <w:r>
        <w:t>Shutdown boundary</w:t>
      </w:r>
    </w:p>
    <w:p>
      <w:pPr>
        <w:spacing w:before="0" w:after="24"/>
      </w:pPr>
      <w:r>
        <w:t>Iteration #61 completed as the final RUNNING frozen durable unit at the +300 s boundary. The harness requested cooperative stop with reason performance_drain_boundary. Job Runtime entered DRAINING, the corrected Alarm Runtime reconciliation returned successfully, and iteration #62 never started.</w:t>
      </w:r>
    </w:p>
    <w:p>
      <w:pPr>
        <w:pStyle w:val="Heading1"/>
        <w:spacing w:before="0" w:after="24"/>
      </w:pPr>
      <w:r>
        <w:t>Independent durable audit</w:t>
      </w:r>
    </w:p>
    <w:tbl>
      <w:tblPr>
        <w:tblStyle w:val="TableGrid"/>
        <w:tblW w:type="auto" w:w="0"/>
        <w:jc w:val="center"/>
        <w:tblLook w:firstColumn="1" w:firstRow="1" w:lastColumn="0" w:lastRow="0" w:noHBand="0" w:noVBand="1" w:val="04A0"/>
      </w:tblPr>
      <w:tblGrid>
        <w:gridCol w:w="5256"/>
        <w:gridCol w:w="5256"/>
      </w:tblGrid>
      <w:tr>
        <w:tc>
          <w:tcPr>
            <w:tcW w:type="dxa" w:w="5256"/>
            <w:shd w:fill="D9EAF7"/>
          </w:tcPr>
          <w:p>
            <w:pPr>
              <w:spacing w:before="0" w:after="0"/>
            </w:pPr>
            <w:r>
              <w:rPr>
                <w:b/>
                <w:sz w:val="15"/>
              </w:rPr>
              <w:t>Evidence</w:t>
            </w:r>
          </w:p>
        </w:tc>
        <w:tc>
          <w:tcPr>
            <w:tcW w:type="dxa" w:w="5256"/>
            <w:shd w:fill="D9EAF7"/>
          </w:tcPr>
          <w:p>
            <w:pPr>
              <w:spacing w:before="0" w:after="0"/>
            </w:pPr>
            <w:r>
              <w:rPr>
                <w:b/>
                <w:sz w:val="15"/>
              </w:rPr>
              <w:t>Observed</w:t>
            </w:r>
          </w:p>
        </w:tc>
      </w:tr>
      <w:tr>
        <w:tc>
          <w:tcPr>
            <w:tcW w:type="dxa" w:w="5256"/>
          </w:tcPr>
          <w:p>
            <w:pPr>
              <w:spacing w:before="0" w:after="0"/>
            </w:pPr>
            <w:r>
              <w:rPr>
                <w:sz w:val="15"/>
              </w:rPr>
              <w:t>WAL before / after drain</w:t>
            </w:r>
          </w:p>
        </w:tc>
        <w:tc>
          <w:tcPr>
            <w:tcW w:type="dxa" w:w="5256"/>
          </w:tcPr>
          <w:p>
            <w:pPr>
              <w:spacing w:before="0" w:after="0"/>
            </w:pPr>
            <w:r>
              <w:rPr>
                <w:sz w:val="15"/>
              </w:rPr>
              <w:t>702 / 702 records</w:t>
            </w:r>
          </w:p>
        </w:tc>
      </w:tr>
      <w:tr>
        <w:tc>
          <w:tcPr>
            <w:tcW w:type="dxa" w:w="5256"/>
          </w:tcPr>
          <w:p>
            <w:pPr>
              <w:spacing w:before="0" w:after="0"/>
            </w:pPr>
            <w:r>
              <w:rPr>
                <w:sz w:val="15"/>
              </w:rPr>
              <w:t>WAL bytes before / after</w:t>
            </w:r>
          </w:p>
        </w:tc>
        <w:tc>
          <w:tcPr>
            <w:tcW w:type="dxa" w:w="5256"/>
          </w:tcPr>
          <w:p>
            <w:pPr>
              <w:spacing w:before="0" w:after="0"/>
            </w:pPr>
            <w:r>
              <w:rPr>
                <w:sz w:val="15"/>
              </w:rPr>
              <w:t>6,969,756 / 6,969,756</w:t>
            </w:r>
          </w:p>
        </w:tc>
      </w:tr>
      <w:tr>
        <w:tc>
          <w:tcPr>
            <w:tcW w:type="dxa" w:w="5256"/>
          </w:tcPr>
          <w:p>
            <w:pPr>
              <w:spacing w:before="0" w:after="0"/>
            </w:pPr>
            <w:r>
              <w:rPr>
                <w:sz w:val="15"/>
              </w:rPr>
              <w:t>New durable units during drain</w:t>
            </w:r>
          </w:p>
        </w:tc>
        <w:tc>
          <w:tcPr>
            <w:tcW w:type="dxa" w:w="5256"/>
          </w:tcPr>
          <w:p>
            <w:pPr>
              <w:spacing w:before="0" w:after="0"/>
            </w:pPr>
            <w:r>
              <w:rPr>
                <w:sz w:val="15"/>
              </w:rPr>
              <w:t>0</w:t>
            </w:r>
          </w:p>
        </w:tc>
      </w:tr>
      <w:tr>
        <w:tc>
          <w:tcPr>
            <w:tcW w:type="dxa" w:w="5256"/>
          </w:tcPr>
          <w:p>
            <w:pPr>
              <w:spacing w:before="0" w:after="0"/>
            </w:pPr>
            <w:r>
              <w:rPr>
                <w:sz w:val="15"/>
              </w:rPr>
              <w:t>Duplicate commit IDs</w:t>
            </w:r>
          </w:p>
        </w:tc>
        <w:tc>
          <w:tcPr>
            <w:tcW w:type="dxa" w:w="5256"/>
          </w:tcPr>
          <w:p>
            <w:pPr>
              <w:spacing w:before="0" w:after="0"/>
            </w:pPr>
            <w:r>
              <w:rPr>
                <w:sz w:val="15"/>
              </w:rPr>
              <w:t>0</w:t>
            </w:r>
          </w:p>
        </w:tc>
      </w:tr>
      <w:tr>
        <w:tc>
          <w:tcPr>
            <w:tcW w:type="dxa" w:w="5256"/>
          </w:tcPr>
          <w:p>
            <w:pPr>
              <w:spacing w:before="0" w:after="0"/>
            </w:pPr>
            <w:r>
              <w:rPr>
                <w:sz w:val="15"/>
              </w:rPr>
              <w:t>Commit-chain mismatches</w:t>
            </w:r>
          </w:p>
        </w:tc>
        <w:tc>
          <w:tcPr>
            <w:tcW w:type="dxa" w:w="5256"/>
          </w:tcPr>
          <w:p>
            <w:pPr>
              <w:spacing w:before="0" w:after="0"/>
            </w:pPr>
            <w:r>
              <w:rPr>
                <w:sz w:val="15"/>
              </w:rPr>
              <w:t>0</w:t>
            </w:r>
          </w:p>
        </w:tc>
      </w:tr>
      <w:tr>
        <w:tc>
          <w:tcPr>
            <w:tcW w:type="dxa" w:w="5256"/>
          </w:tcPr>
          <w:p>
            <w:pPr>
              <w:spacing w:before="0" w:after="0"/>
            </w:pPr>
            <w:r>
              <w:rPr>
                <w:sz w:val="15"/>
              </w:rPr>
              <w:t>Snapshot last_commit mismatches</w:t>
            </w:r>
          </w:p>
        </w:tc>
        <w:tc>
          <w:tcPr>
            <w:tcW w:type="dxa" w:w="5256"/>
          </w:tcPr>
          <w:p>
            <w:pPr>
              <w:spacing w:before="0" w:after="0"/>
            </w:pPr>
            <w:r>
              <w:rPr>
                <w:sz w:val="15"/>
              </w:rPr>
              <w:t>0</w:t>
            </w:r>
          </w:p>
        </w:tc>
      </w:tr>
      <w:tr>
        <w:tc>
          <w:tcPr>
            <w:tcW w:type="dxa" w:w="5256"/>
          </w:tcPr>
          <w:p>
            <w:pPr>
              <w:spacing w:before="0" w:after="0"/>
            </w:pPr>
            <w:r>
              <w:rPr>
                <w:sz w:val="15"/>
              </w:rPr>
              <w:t>Snapshots before / after</w:t>
            </w:r>
          </w:p>
        </w:tc>
        <w:tc>
          <w:tcPr>
            <w:tcW w:type="dxa" w:w="5256"/>
          </w:tcPr>
          <w:p>
            <w:pPr>
              <w:spacing w:before="0" w:after="0"/>
            </w:pPr>
            <w:r>
              <w:rPr>
                <w:sz w:val="15"/>
              </w:rPr>
              <w:t>100 / 100; unchanged</w:t>
            </w:r>
          </w:p>
        </w:tc>
      </w:tr>
      <w:tr>
        <w:tc>
          <w:tcPr>
            <w:tcW w:type="dxa" w:w="5256"/>
          </w:tcPr>
          <w:p>
            <w:pPr>
              <w:spacing w:before="0" w:after="0"/>
            </w:pPr>
            <w:r>
              <w:rPr>
                <w:sz w:val="15"/>
              </w:rPr>
              <w:t>Durable / materialized head</w:t>
            </w:r>
          </w:p>
        </w:tc>
        <w:tc>
          <w:tcPr>
            <w:tcW w:type="dxa" w:w="5256"/>
          </w:tcPr>
          <w:p>
            <w:pPr>
              <w:spacing w:before="0" w:after="0"/>
            </w:pPr>
            <w:r>
              <w:rPr>
                <w:sz w:val="15"/>
              </w:rPr>
              <w:t>Identical before and after drain</w:t>
            </w:r>
          </w:p>
        </w:tc>
      </w:tr>
      <w:tr>
        <w:tc>
          <w:tcPr>
            <w:tcW w:type="dxa" w:w="5256"/>
          </w:tcPr>
          <w:p>
            <w:pPr>
              <w:spacing w:before="0" w:after="0"/>
            </w:pPr>
            <w:r>
              <w:rPr>
                <w:sz w:val="15"/>
              </w:rPr>
              <w:t>Final cache</w:t>
            </w:r>
          </w:p>
        </w:tc>
        <w:tc>
          <w:tcPr>
            <w:tcW w:type="dxa" w:w="5256"/>
          </w:tcPr>
          <w:p>
            <w:pPr>
              <w:spacing w:before="0" w:after="0"/>
            </w:pPr>
            <w:r>
              <w:rPr>
                <w:sz w:val="15"/>
              </w:rPr>
              <w:t>PERF-AC-1 / PERF-TR-1</w:t>
            </w:r>
          </w:p>
        </w:tc>
      </w:tr>
      <w:tr>
        <w:tc>
          <w:tcPr>
            <w:tcW w:type="dxa" w:w="5256"/>
          </w:tcPr>
          <w:p>
            <w:pPr>
              <w:spacing w:before="0" w:after="0"/>
            </w:pPr>
            <w:r>
              <w:rPr>
                <w:sz w:val="15"/>
              </w:rPr>
              <w:t>Last +300 s cycle</w:t>
            </w:r>
          </w:p>
        </w:tc>
        <w:tc>
          <w:tcPr>
            <w:tcW w:type="dxa" w:w="5256"/>
          </w:tcPr>
          <w:p>
            <w:pPr>
              <w:spacing w:before="0" w:after="0"/>
            </w:pPr>
            <w:r>
              <w:rPr>
                <w:sz w:val="15"/>
              </w:rPr>
              <w:t>100 commits = 90 evidence-only + 5 request + 5 decision</w:t>
            </w:r>
          </w:p>
        </w:tc>
      </w:tr>
    </w:tbl>
    <w:p>
      <w:pPr>
        <w:pStyle w:val="Heading1"/>
        <w:spacing w:before="0" w:after="24"/>
      </w:pPr>
      <w:r>
        <w:t>Workload and bounded drain</w:t>
      </w:r>
    </w:p>
    <w:p>
      <w:pPr>
        <w:spacing w:before="0" w:after="24"/>
      </w:pPr>
      <w:r>
        <w:t>Management and Decision consumption stopped exactly at 271 / 241 inputs, with cursors 69,376 / 61,696 bytes. Both stream pending sets remained empty, while 30 DeactivationRequests were intentionally retained (IDs 242..271). Future source backlog remained 209 Management and 239 Decision items. Drain consumed none of this business backlog.</w:t>
      </w:r>
    </w:p>
    <w:p>
      <w:pPr>
        <w:spacing w:before="0" w:after="24"/>
      </w:pPr>
      <w:r>
        <w:t>Captured boundary, drain-before and drain-after evidence are identical. Post-drain source loads, Management reads, Decision reads and cache replacements are all zero. Persistence reconciliation was a no-op: applied=0 and discarded_tail_bytes=0.</w:t>
      </w:r>
    </w:p>
    <w:p>
      <w:pPr>
        <w:pStyle w:val="Heading1"/>
        <w:spacing w:before="0" w:after="24"/>
      </w:pPr>
      <w:r>
        <w:t>Performance characterization</w:t>
      </w:r>
    </w:p>
    <w:p>
      <w:pPr>
        <w:spacing w:before="0" w:after="24"/>
      </w:pPr>
      <w:r>
        <w:t>Iteration p50/p95/p99/max = 1052.16 / 1085.64 / 1800.66 / 1845.17 ms. Average/peak CPU = 89.89% / 98.53%; average/peak RSS = 139.36 / 140.35 MB; overruns=0. Drain latency is recorded separately and does not enter iteration percentiles.</w:t>
      </w:r>
    </w:p>
    <w:p>
      <w:pPr>
        <w:pStyle w:val="Heading1"/>
        <w:spacing w:before="0" w:after="24"/>
      </w:pPr>
      <w:r>
        <w:t>Finding disposition</w:t>
      </w:r>
    </w:p>
    <w:p>
      <w:pPr>
        <w:spacing w:before="0" w:after="24"/>
      </w:pPr>
      <w:r>
        <w:t>The first E-012 run exposed F-E012-001: Alarm Runtime reused cancellation-sensitive startup recovery from drain. Product fix 0.1.0 separated startup recover from cancellation-tolerant drain reconciliation while preserving the same lease/fencing authority. The 344/344 gate and this authoritative rerun verify the fix end-to-end. The original PRODUCT CONTRACT FAIL run remains archived evidence.</w:t>
      </w:r>
    </w:p>
    <w:p>
      <w:pPr>
        <w:pStyle w:val="Heading1"/>
        <w:spacing w:before="0" w:after="24"/>
      </w:pPr>
      <w:r>
        <w:t>Evidence hashes and next campaign stage</w:t>
      </w:r>
    </w:p>
    <w:p>
      <w:pPr>
        <w:spacing w:before="0" w:after="24"/>
      </w:pPr>
      <w:r>
        <w:t>E-012-results.zip SHA-256: f21e9840bdbfe2931544b350b9ab3b88ab01aa1b1587cb4891f513111265af04</w:t>
        <w:br/>
        <w:t>E-012-work.zip SHA-256: 1f1cff054eb68db056c3efad64dc243a8c342dd7620fbe244014ea14e392d05b</w:t>
        <w:br/>
        <w:br/>
        <w:t>R3.5E is closed. Next: R3.5F, beginning with F-001 — Soak 500 local 30m design.</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