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4"/>
        <w:jc w:val="center"/>
      </w:pPr>
      <w:r>
        <w:t>Atlanticus R3.5E — E-012</w:t>
        <w:br/>
        <w:t>Drain Cancellation Product Finding</w:t>
      </w:r>
    </w:p>
    <w:p>
      <w:pPr>
        <w:spacing w:before="0" w:after="14"/>
        <w:jc w:val="center"/>
      </w:pPr>
      <w:r>
        <w:rPr>
          <w:b/>
        </w:rPr>
        <w:t>F-E012-001 · Corrective design v1.0.0 · 30 August 2026</w:t>
      </w:r>
    </w:p>
    <w:tbl>
      <w:tblPr>
        <w:tblStyle w:val="TableGrid"/>
        <w:tblW w:type="auto" w:w="0"/>
        <w:jc w:val="center"/>
        <w:tblLook w:firstColumn="1" w:firstRow="1" w:lastColumn="0" w:lastRow="0" w:noHBand="0" w:noVBand="1" w:val="04A0"/>
      </w:tblPr>
      <w:tblGrid>
        <w:gridCol w:w="5227"/>
        <w:gridCol w:w="5227"/>
      </w:tblGrid>
      <w:tr>
        <w:tc>
          <w:tcPr>
            <w:tcW w:type="dxa" w:w="5227"/>
            <w:shd w:fill="F2F2F2"/>
          </w:tcPr>
          <w:p>
            <w:pPr>
              <w:spacing w:before="0" w:after="0"/>
            </w:pPr>
            <w:r>
              <w:rPr>
                <w:sz w:val="14"/>
              </w:rPr>
              <w:t>Finding</w:t>
            </w:r>
          </w:p>
        </w:tc>
        <w:tc>
          <w:tcPr>
            <w:tcW w:type="dxa" w:w="5227"/>
            <w:shd w:fill="F2F2F2"/>
          </w:tcPr>
          <w:p>
            <w:pPr>
              <w:spacing w:before="0" w:after="0"/>
            </w:pPr>
            <w:r>
              <w:rPr>
                <w:sz w:val="14"/>
              </w:rPr>
              <w:t>F-E012-001</w:t>
            </w:r>
          </w:p>
        </w:tc>
      </w:tr>
      <w:tr>
        <w:tc>
          <w:tcPr>
            <w:tcW w:type="dxa" w:w="5227"/>
          </w:tcPr>
          <w:p>
            <w:pPr>
              <w:spacing w:before="0" w:after="0"/>
            </w:pPr>
            <w:r>
              <w:rPr>
                <w:sz w:val="14"/>
              </w:rPr>
              <w:t>Severity</w:t>
            </w:r>
          </w:p>
        </w:tc>
        <w:tc>
          <w:tcPr>
            <w:tcW w:type="dxa" w:w="5227"/>
          </w:tcPr>
          <w:p>
            <w:pPr>
              <w:spacing w:before="0" w:after="0"/>
            </w:pPr>
            <w:r>
              <w:rPr>
                <w:sz w:val="14"/>
              </w:rPr>
              <w:t>High</w:t>
            </w:r>
          </w:p>
        </w:tc>
      </w:tr>
      <w:tr>
        <w:tc>
          <w:tcPr>
            <w:tcW w:type="dxa" w:w="5227"/>
            <w:shd w:fill="F2F2F2"/>
          </w:tcPr>
          <w:p>
            <w:pPr>
              <w:spacing w:before="0" w:after="0"/>
            </w:pPr>
            <w:r>
              <w:rPr>
                <w:sz w:val="14"/>
              </w:rPr>
              <w:t>Classification</w:t>
            </w:r>
          </w:p>
        </w:tc>
        <w:tc>
          <w:tcPr>
            <w:tcW w:type="dxa" w:w="5227"/>
            <w:shd w:fill="F2F2F2"/>
          </w:tcPr>
          <w:p>
            <w:pPr>
              <w:spacing w:before="0" w:after="0"/>
            </w:pPr>
            <w:r>
              <w:rPr>
                <w:sz w:val="14"/>
              </w:rPr>
              <w:t>PRODUCT CONTRACT FAIL</w:t>
            </w:r>
          </w:p>
        </w:tc>
      </w:tr>
      <w:tr>
        <w:tc>
          <w:tcPr>
            <w:tcW w:type="dxa" w:w="5227"/>
          </w:tcPr>
          <w:p>
            <w:pPr>
              <w:spacing w:before="0" w:after="0"/>
            </w:pPr>
            <w:r>
              <w:rPr>
                <w:sz w:val="14"/>
              </w:rPr>
              <w:t>Run</w:t>
            </w:r>
          </w:p>
        </w:tc>
        <w:tc>
          <w:tcPr>
            <w:tcW w:type="dxa" w:w="5227"/>
          </w:tcPr>
          <w:p>
            <w:pPr>
              <w:spacing w:before="0" w:after="0"/>
            </w:pPr>
            <w:r>
              <w:rPr>
                <w:sz w:val="14"/>
              </w:rPr>
              <w:t>cd337df6-4571-4626-92cd-e103689f05b3</w:t>
            </w:r>
          </w:p>
        </w:tc>
      </w:tr>
      <w:tr>
        <w:tc>
          <w:tcPr>
            <w:tcW w:type="dxa" w:w="5227"/>
            <w:shd w:fill="F2F2F2"/>
          </w:tcPr>
          <w:p>
            <w:pPr>
              <w:spacing w:before="0" w:after="0"/>
            </w:pPr>
            <w:r>
              <w:rPr>
                <w:sz w:val="14"/>
              </w:rPr>
              <w:t>Last completed iteration</w:t>
            </w:r>
          </w:p>
        </w:tc>
        <w:tc>
          <w:tcPr>
            <w:tcW w:type="dxa" w:w="5227"/>
            <w:shd w:fill="F2F2F2"/>
          </w:tcPr>
          <w:p>
            <w:pPr>
              <w:spacing w:before="0" w:after="0"/>
            </w:pPr>
            <w:r>
              <w:rPr>
                <w:sz w:val="14"/>
              </w:rPr>
              <w:t>#61 / +300 s</w:t>
            </w:r>
          </w:p>
        </w:tc>
      </w:tr>
      <w:tr>
        <w:tc>
          <w:tcPr>
            <w:tcW w:type="dxa" w:w="5227"/>
          </w:tcPr>
          <w:p>
            <w:pPr>
              <w:spacing w:before="0" w:after="0"/>
            </w:pPr>
            <w:r>
              <w:rPr>
                <w:sz w:val="14"/>
              </w:rPr>
              <w:t>Durable prefix</w:t>
            </w:r>
          </w:p>
        </w:tc>
        <w:tc>
          <w:tcPr>
            <w:tcW w:type="dxa" w:w="5227"/>
          </w:tcPr>
          <w:p>
            <w:pPr>
              <w:spacing w:before="0" w:after="0"/>
            </w:pPr>
            <w:r>
              <w:rPr>
                <w:sz w:val="14"/>
              </w:rPr>
              <w:t>702 commits / 6,969,756 bytes</w:t>
            </w:r>
          </w:p>
        </w:tc>
      </w:tr>
      <w:tr>
        <w:tc>
          <w:tcPr>
            <w:tcW w:type="dxa" w:w="5227"/>
            <w:shd w:fill="F2F2F2"/>
          </w:tcPr>
          <w:p>
            <w:pPr>
              <w:spacing w:before="0" w:after="0"/>
            </w:pPr>
            <w:r>
              <w:rPr>
                <w:sz w:val="14"/>
              </w:rPr>
              <w:t>Iteration #62</w:t>
            </w:r>
          </w:p>
        </w:tc>
        <w:tc>
          <w:tcPr>
            <w:tcW w:type="dxa" w:w="5227"/>
            <w:shd w:fill="F2F2F2"/>
          </w:tcPr>
          <w:p>
            <w:pPr>
              <w:spacing w:before="0" w:after="0"/>
            </w:pPr>
            <w:r>
              <w:rPr>
                <w:sz w:val="14"/>
              </w:rPr>
              <w:t>Did not start</w:t>
            </w:r>
          </w:p>
        </w:tc>
      </w:tr>
      <w:tr>
        <w:tc>
          <w:tcPr>
            <w:tcW w:type="dxa" w:w="5227"/>
          </w:tcPr>
          <w:p>
            <w:pPr>
              <w:spacing w:before="0" w:after="0"/>
            </w:pPr>
            <w:r>
              <w:rPr>
                <w:sz w:val="14"/>
              </w:rPr>
              <w:t>Failure</w:t>
            </w:r>
          </w:p>
        </w:tc>
        <w:tc>
          <w:tcPr>
            <w:tcW w:type="dxa" w:w="5227"/>
          </w:tcPr>
          <w:p>
            <w:pPr>
              <w:spacing w:before="0" w:after="0"/>
            </w:pPr>
            <w:r>
              <w:rPr>
                <w:sz w:val="14"/>
              </w:rPr>
              <w:t>RuntimeCancellationRequested('performance_drain_boundary') during product drain</w:t>
            </w:r>
          </w:p>
        </w:tc>
      </w:tr>
    </w:tbl>
    <w:p>
      <w:pPr>
        <w:pStyle w:val="Heading1"/>
        <w:spacing w:before="0" w:after="14"/>
      </w:pPr>
      <w:r>
        <w:t>1. What the run proved before failing</w:t>
      </w:r>
    </w:p>
    <w:p>
      <w:pPr>
        <w:spacing w:before="0" w:after="14"/>
      </w:pPr>
      <w:r>
        <w:t>The E-012 harness reached the accepted shutdown boundary correctly. Iteration #61 completed normally at the +300 second slot and brought the durable journal to the exact expected prefix of 702 commits. Job Runtime then observed the cooperative stop request and entered its drain path. No iteration #62 began.</w:t>
      </w:r>
    </w:p>
    <w:p>
      <w:pPr>
        <w:pStyle w:val="Heading1"/>
        <w:spacing w:before="0" w:after="14"/>
      </w:pPr>
      <w:r>
        <w:t>2. Exact failure path</w:t>
      </w:r>
    </w:p>
    <w:p>
      <w:pPr>
        <w:spacing w:before="0" w:after="14"/>
      </w:pPr>
      <w:r>
        <w:t>Atlanticus Job Runtime calls the registered drain callback with the same lease-authorized JobRuntimeContext after the context has been marked stopped. AlarmRuntimeJobComposition.drain validates lease authority and recovered state, then delegates to AlarmRuntimeComposition.recover. That calls AlarmRuntimeDurability.recover, whose first operation is context.raise_if_cancelled(). Because the stop request is already present, the drain reconciliation raises RuntimeCancellationRequested before Persistence.recover can execute.</w:t>
      </w:r>
    </w:p>
    <w:p>
      <w:pPr>
        <w:pStyle w:val="Heading1"/>
        <w:spacing w:before="0" w:after="14"/>
      </w:pPr>
      <w:r>
        <w:t>3. Contract diagnosis</w:t>
      </w:r>
    </w:p>
    <w:p>
      <w:pPr>
        <w:spacing w:before="0" w:after="14"/>
      </w:pPr>
      <w:r>
        <w:t>The cancellation check is correct for startup recovery: a stopped execution must not begin or resume business work. It is not correct for shutdown reconciliation, because the drain callback is invoked precisely after stop has been requested. The current implementation conflates two different lifecycle responsibilities: startup recovery and drain-time persistence reconciliation.</w:t>
      </w:r>
    </w:p>
    <w:p>
      <w:pPr>
        <w:pStyle w:val="Heading1"/>
        <w:spacing w:before="0" w:after="14"/>
      </w:pPr>
      <w:r>
        <w:t>4. Corrective design</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pPr>
              <w:spacing w:before="0" w:after="0"/>
            </w:pPr>
            <w:r>
              <w:rPr>
                <w:b/>
                <w:sz w:val="14"/>
              </w:rPr>
              <w:t>Boundary</w:t>
            </w:r>
          </w:p>
        </w:tc>
        <w:tc>
          <w:tcPr>
            <w:tcW w:type="dxa" w:w="5227"/>
            <w:shd w:fill="D9EAF7"/>
          </w:tcPr>
          <w:p>
            <w:pPr>
              <w:spacing w:before="0" w:after="0"/>
            </w:pPr>
            <w:r>
              <w:rPr>
                <w:b/>
                <w:sz w:val="14"/>
              </w:rPr>
              <w:t>Frozen corrective contract</w:t>
            </w:r>
          </w:p>
        </w:tc>
      </w:tr>
      <w:tr>
        <w:tc>
          <w:tcPr>
            <w:tcW w:type="dxa" w:w="5227"/>
          </w:tcPr>
          <w:p>
            <w:pPr>
              <w:spacing w:before="0" w:after="0"/>
            </w:pPr>
            <w:r>
              <w:rPr>
                <w:sz w:val="14"/>
              </w:rPr>
              <w:t>Startup recover</w:t>
            </w:r>
          </w:p>
        </w:tc>
        <w:tc>
          <w:tcPr>
            <w:tcW w:type="dxa" w:w="5227"/>
          </w:tcPr>
          <w:p>
            <w:pPr>
              <w:spacing w:before="0" w:after="0"/>
            </w:pPr>
            <w:r>
              <w:rPr>
                <w:sz w:val="14"/>
              </w:rPr>
              <w:t>Remains cancellation-sensitive and keeps context.raise_if_cancelled().</w:t>
            </w:r>
          </w:p>
        </w:tc>
      </w:tr>
      <w:tr>
        <w:tc>
          <w:tcPr>
            <w:tcW w:type="dxa" w:w="5227"/>
          </w:tcPr>
          <w:p>
            <w:pPr>
              <w:spacing w:before="0" w:after="0"/>
            </w:pPr>
            <w:r>
              <w:rPr>
                <w:sz w:val="14"/>
              </w:rPr>
              <w:t>Drain reconciliation</w:t>
            </w:r>
          </w:p>
        </w:tc>
        <w:tc>
          <w:tcPr>
            <w:tcW w:type="dxa" w:w="5227"/>
          </w:tcPr>
          <w:p>
            <w:pPr>
              <w:spacing w:before="0" w:after="0"/>
            </w:pPr>
            <w:r>
              <w:rPr>
                <w:sz w:val="14"/>
              </w:rPr>
              <w:t>New explicit path; does not call raise_if_cancelled().</w:t>
            </w:r>
          </w:p>
        </w:tc>
      </w:tr>
      <w:tr>
        <w:tc>
          <w:tcPr>
            <w:tcW w:type="dxa" w:w="5227"/>
          </w:tcPr>
          <w:p>
            <w:pPr>
              <w:spacing w:before="0" w:after="0"/>
            </w:pPr>
            <w:r>
              <w:rPr>
                <w:sz w:val="14"/>
              </w:rPr>
              <w:t>Lease authority</w:t>
            </w:r>
          </w:p>
        </w:tc>
        <w:tc>
          <w:tcPr>
            <w:tcW w:type="dxa" w:w="5227"/>
          </w:tcPr>
          <w:p>
            <w:pPr>
              <w:spacing w:before="0" w:after="0"/>
            </w:pPr>
            <w:r>
              <w:rPr>
                <w:sz w:val="14"/>
              </w:rPr>
              <w:t>Unchanged; assert_lease_current remains required.</w:t>
            </w:r>
          </w:p>
        </w:tc>
      </w:tr>
      <w:tr>
        <w:tc>
          <w:tcPr>
            <w:tcW w:type="dxa" w:w="5227"/>
          </w:tcPr>
          <w:p>
            <w:pPr>
              <w:spacing w:before="0" w:after="0"/>
            </w:pPr>
            <w:r>
              <w:rPr>
                <w:sz w:val="14"/>
              </w:rPr>
              <w:t>Persistence fencing</w:t>
            </w:r>
          </w:p>
        </w:tc>
        <w:tc>
          <w:tcPr>
            <w:tcW w:type="dxa" w:w="5227"/>
          </w:tcPr>
          <w:p>
            <w:pPr>
              <w:spacing w:before="0" w:after="0"/>
            </w:pPr>
            <w:r>
              <w:rPr>
                <w:sz w:val="14"/>
              </w:rPr>
              <w:t>Unchanged; Persistence.recover uses the same authority callback and fenced_mutation.</w:t>
            </w:r>
          </w:p>
        </w:tc>
      </w:tr>
      <w:tr>
        <w:tc>
          <w:tcPr>
            <w:tcW w:type="dxa" w:w="5227"/>
          </w:tcPr>
          <w:p>
            <w:pPr>
              <w:spacing w:before="0" w:after="0"/>
            </w:pPr>
            <w:r>
              <w:rPr>
                <w:sz w:val="14"/>
              </w:rPr>
              <w:t>Context stop flag</w:t>
            </w:r>
          </w:p>
        </w:tc>
        <w:tc>
          <w:tcPr>
            <w:tcW w:type="dxa" w:w="5227"/>
          </w:tcPr>
          <w:p>
            <w:pPr>
              <w:spacing w:before="0" w:after="0"/>
            </w:pPr>
            <w:r>
              <w:rPr>
                <w:sz w:val="14"/>
              </w:rPr>
              <w:t>Never cleared or rewritten.</w:t>
            </w:r>
          </w:p>
        </w:tc>
      </w:tr>
      <w:tr>
        <w:tc>
          <w:tcPr>
            <w:tcW w:type="dxa" w:w="5227"/>
          </w:tcPr>
          <w:p>
            <w:pPr>
              <w:spacing w:before="0" w:after="0"/>
            </w:pPr>
            <w:r>
              <w:rPr>
                <w:sz w:val="14"/>
              </w:rPr>
              <w:t>Context identity</w:t>
            </w:r>
          </w:p>
        </w:tc>
        <w:tc>
          <w:tcPr>
            <w:tcW w:type="dxa" w:w="5227"/>
          </w:tcPr>
          <w:p>
            <w:pPr>
              <w:spacing w:before="0" w:after="0"/>
            </w:pPr>
            <w:r>
              <w:rPr>
                <w:sz w:val="14"/>
              </w:rPr>
              <w:t>Same JobRuntimeContext; no clone or synthetic context.</w:t>
            </w:r>
          </w:p>
        </w:tc>
      </w:tr>
      <w:tr>
        <w:tc>
          <w:tcPr>
            <w:tcW w:type="dxa" w:w="5227"/>
          </w:tcPr>
          <w:p>
            <w:pPr>
              <w:spacing w:before="0" w:after="0"/>
            </w:pPr>
            <w:r>
              <w:rPr>
                <w:sz w:val="14"/>
              </w:rPr>
              <w:t>Atlanticus runner</w:t>
            </w:r>
          </w:p>
        </w:tc>
        <w:tc>
          <w:tcPr>
            <w:tcW w:type="dxa" w:w="5227"/>
          </w:tcPr>
          <w:p>
            <w:pPr>
              <w:spacing w:before="0" w:after="0"/>
            </w:pPr>
            <w:r>
              <w:rPr>
                <w:sz w:val="14"/>
              </w:rPr>
              <w:t>No change.</w:t>
            </w:r>
          </w:p>
        </w:tc>
      </w:tr>
      <w:tr>
        <w:tc>
          <w:tcPr>
            <w:tcW w:type="dxa" w:w="5227"/>
          </w:tcPr>
          <w:p>
            <w:pPr>
              <w:spacing w:before="0" w:after="0"/>
            </w:pPr>
            <w:r>
              <w:rPr>
                <w:sz w:val="14"/>
              </w:rPr>
              <w:t>Persistence/Core</w:t>
            </w:r>
          </w:p>
        </w:tc>
        <w:tc>
          <w:tcPr>
            <w:tcW w:type="dxa" w:w="5227"/>
          </w:tcPr>
          <w:p>
            <w:pPr>
              <w:spacing w:before="0" w:after="0"/>
            </w:pPr>
            <w:r>
              <w:rPr>
                <w:sz w:val="14"/>
              </w:rPr>
              <w:t>No change.</w:t>
            </w:r>
          </w:p>
        </w:tc>
      </w:tr>
      <w:tr>
        <w:tc>
          <w:tcPr>
            <w:tcW w:type="dxa" w:w="5227"/>
          </w:tcPr>
          <w:p>
            <w:pPr>
              <w:spacing w:before="0" w:after="0"/>
            </w:pPr>
            <w:r>
              <w:rPr>
                <w:sz w:val="14"/>
              </w:rPr>
              <w:t>Commit/cycle cancellation</w:t>
            </w:r>
          </w:p>
        </w:tc>
        <w:tc>
          <w:tcPr>
            <w:tcW w:type="dxa" w:w="5227"/>
          </w:tcPr>
          <w:p>
            <w:pPr>
              <w:spacing w:before="0" w:after="0"/>
            </w:pPr>
            <w:r>
              <w:rPr>
                <w:sz w:val="14"/>
              </w:rPr>
              <w:t>No weakening.</w:t>
            </w:r>
          </w:p>
        </w:tc>
      </w:tr>
    </w:tbl>
    <w:p>
      <w:pPr>
        <w:pStyle w:val="Heading1"/>
        <w:spacing w:before="0" w:after="14"/>
      </w:pPr>
      <w:r>
        <w:t>5. Proposed product shape</w:t>
      </w:r>
    </w:p>
    <w:p>
      <w:pPr>
        <w:spacing w:before="0" w:after="14"/>
      </w:pPr>
      <w:r>
        <w:t>AlarmRuntimeDurability should expose a dedicated reconciliation operation that invokes Persistence.recover with the existing lease/fencing callbacks but without the startup cancellation guard. AlarmRuntimeComposition should expose that responsibility explicitly. AlarmRuntimeJobComposition.drain should call the reconciliation operation after its existing lease and recovered-state checks. The existing recover path remains unchanged for startup.</w:t>
      </w:r>
    </w:p>
    <w:p>
      <w:pPr>
        <w:pStyle w:val="Heading1"/>
        <w:spacing w:before="0" w:after="14"/>
      </w:pPr>
      <w:r>
        <w:t>6. Required regressions before rerun</w:t>
      </w:r>
    </w:p>
    <w:p>
      <w:pPr>
        <w:spacing w:before="0" w:after="14"/>
      </w:pPr>
      <w:r>
        <w:t>The patch must prove: (1) startup recovery still rejects a pre-cancelled context; (2) job.drain succeeds after context.request_stop while preserving stop_reason; (3) cooperative Job Runtime stop reaches the Alarm Runtime drain and returns without starting another iteration; and (4) SIGTERM with the real Alarm Runtime drain no longer fails because of RuntimeCancellationRequested. Commented mirrors must remain AST-equivalent.</w:t>
      </w:r>
    </w:p>
    <w:p>
      <w:pPr>
        <w:pStyle w:val="Heading1"/>
        <w:spacing w:before="0" w:after="14"/>
      </w:pPr>
      <w:r>
        <w:t>7. Disposition</w:t>
      </w:r>
    </w:p>
    <w:p>
      <w:pPr>
        <w:spacing w:before="0" w:after="14"/>
      </w:pPr>
      <w:r>
        <w:t>E-012 remains BLOCKED and the failed workload is retained as authoritative finding evidence. Do not clean the existing E-012 work/results directories yet. No harness workaround is accepted. After the product fix is implemented and its complete gate is green, the failed attempt should be archived and E-012 rerun from clean work/results.</w:t>
      </w:r>
    </w:p>
    <w:sectPr w:rsidR="00FC693F" w:rsidRPr="0006063C" w:rsidSect="00034616">
      <w:pgSz w:w="12240" w:h="15840"/>
      <w:pgMar w:top="547" w:right="806" w:bottom="547" w:left="80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