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8"/>
        <w:jc w:val="center"/>
      </w:pPr>
      <w:r>
        <w:t>Atlanticus R3.5F — F-001</w:t>
        <w:br/>
        <w:t>Authoritative Harness Gate Checkpoint</w:t>
      </w:r>
    </w:p>
    <w:p>
      <w:pPr>
        <w:spacing w:before="0" w:after="28"/>
        <w:jc w:val="center"/>
      </w:pPr>
      <w:r>
        <w:rPr>
          <w:b/>
        </w:rPr>
        <w:t>Soak 500 Local 30m · Harness 0.1.1 · 30 August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  <w:shd w:fill="F2F2F2"/>
          </w:tcPr>
          <w:p>
            <w:pPr>
              <w:spacing w:before="0" w:after="0"/>
            </w:pPr>
            <w:r>
              <w:rPr>
                <w:sz w:val="16"/>
              </w:rPr>
              <w:t>Status</w:t>
            </w:r>
          </w:p>
        </w:tc>
        <w:tc>
          <w:tcPr>
            <w:tcW w:type="dxa" w:w="5227"/>
            <w:shd w:fill="F2F2F2"/>
          </w:tcPr>
          <w:p>
            <w:pPr>
              <w:spacing w:before="0" w:after="0"/>
            </w:pPr>
            <w:r>
              <w:rPr>
                <w:sz w:val="16"/>
              </w:rPr>
              <w:t>GREEN / WORKLOAD READY</w:t>
            </w:r>
          </w:p>
        </w:tc>
      </w:tr>
      <w:tr>
        <w:tc>
          <w:tcPr>
            <w:tcW w:type="dxa" w:w="5227"/>
          </w:tcPr>
          <w:p>
            <w:pPr>
              <w:spacing w:before="0" w:after="0"/>
            </w:pPr>
            <w:r>
              <w:rPr>
                <w:sz w:val="16"/>
              </w:rPr>
              <w:t>Harness</w:t>
            </w:r>
          </w:p>
        </w:tc>
        <w:tc>
          <w:tcPr>
            <w:tcW w:type="dxa" w:w="5227"/>
          </w:tcPr>
          <w:p>
            <w:pPr>
              <w:spacing w:before="0" w:after="0"/>
            </w:pPr>
            <w:r>
              <w:rPr>
                <w:sz w:val="16"/>
              </w:rPr>
              <w:t>0.1.1</w:t>
            </w:r>
          </w:p>
        </w:tc>
      </w:tr>
      <w:tr>
        <w:tc>
          <w:tcPr>
            <w:tcW w:type="dxa" w:w="5227"/>
            <w:shd w:fill="F2F2F2"/>
          </w:tcPr>
          <w:p>
            <w:pPr>
              <w:spacing w:before="0" w:after="0"/>
            </w:pPr>
            <w:r>
              <w:rPr>
                <w:sz w:val="16"/>
              </w:rPr>
              <w:t>Authoritative gate</w:t>
            </w:r>
          </w:p>
        </w:tc>
        <w:tc>
          <w:tcPr>
            <w:tcW w:type="dxa" w:w="5227"/>
            <w:shd w:fill="F2F2F2"/>
          </w:tcPr>
          <w:p>
            <w:pPr>
              <w:spacing w:before="0" w:after="0"/>
            </w:pPr>
            <w:r>
              <w:rPr>
                <w:sz w:val="16"/>
              </w:rPr>
              <w:t>348/348 passed in 6.17 s</w:t>
            </w:r>
          </w:p>
        </w:tc>
      </w:tr>
      <w:tr>
        <w:tc>
          <w:tcPr>
            <w:tcW w:type="dxa" w:w="5227"/>
          </w:tcPr>
          <w:p>
            <w:pPr>
              <w:spacing w:before="0" w:after="0"/>
            </w:pPr>
            <w:r>
              <w:rPr>
                <w:sz w:val="16"/>
              </w:rPr>
              <w:t>Python</w:t>
            </w:r>
          </w:p>
        </w:tc>
        <w:tc>
          <w:tcPr>
            <w:tcW w:type="dxa" w:w="5227"/>
          </w:tcPr>
          <w:p>
            <w:pPr>
              <w:spacing w:before="0" w:after="0"/>
            </w:pPr>
            <w:r>
              <w:rPr>
                <w:sz w:val="16"/>
              </w:rPr>
              <w:t>3.14.2 via UV</w:t>
            </w:r>
          </w:p>
        </w:tc>
      </w:tr>
      <w:tr>
        <w:tc>
          <w:tcPr>
            <w:tcW w:type="dxa" w:w="5227"/>
            <w:shd w:fill="F2F2F2"/>
          </w:tcPr>
          <w:p>
            <w:pPr>
              <w:spacing w:before="0" w:after="0"/>
            </w:pPr>
            <w:r>
              <w:rPr>
                <w:sz w:val="16"/>
              </w:rPr>
              <w:t>Ruff / format</w:t>
            </w:r>
          </w:p>
        </w:tc>
        <w:tc>
          <w:tcPr>
            <w:tcW w:type="dxa" w:w="5227"/>
            <w:shd w:fill="F2F2F2"/>
          </w:tcPr>
          <w:p>
            <w:pPr>
              <w:spacing w:before="0" w:after="0"/>
            </w:pPr>
            <w:r>
              <w:rPr>
                <w:sz w:val="16"/>
              </w:rPr>
              <w:t>GREEN</w:t>
            </w:r>
          </w:p>
        </w:tc>
      </w:tr>
      <w:tr>
        <w:tc>
          <w:tcPr>
            <w:tcW w:type="dxa" w:w="5227"/>
          </w:tcPr>
          <w:p>
            <w:pPr>
              <w:spacing w:before="0" w:after="0"/>
            </w:pPr>
            <w:r>
              <w:rPr>
                <w:sz w:val="16"/>
              </w:rPr>
              <w:t>Host</w:t>
            </w:r>
          </w:p>
        </w:tc>
        <w:tc>
          <w:tcPr>
            <w:tcW w:type="dxa" w:w="5227"/>
          </w:tcPr>
          <w:p>
            <w:pPr>
              <w:spacing w:before="0" w:after="0"/>
            </w:pPr>
            <w:r>
              <w:rPr>
                <w:sz w:val="16"/>
              </w:rPr>
              <w:t>GLONBW11</w:t>
            </w:r>
          </w:p>
        </w:tc>
      </w:tr>
      <w:tr>
        <w:tc>
          <w:tcPr>
            <w:tcW w:type="dxa" w:w="5227"/>
            <w:shd w:fill="F2F2F2"/>
          </w:tcPr>
          <w:p>
            <w:pPr>
              <w:spacing w:before="0" w:after="0"/>
            </w:pPr>
            <w:r>
              <w:rPr>
                <w:sz w:val="16"/>
              </w:rPr>
              <w:t>Product changes</w:t>
            </w:r>
          </w:p>
        </w:tc>
        <w:tc>
          <w:tcPr>
            <w:tcW w:type="dxa" w:w="5227"/>
            <w:shd w:fill="F2F2F2"/>
          </w:tcPr>
          <w:p>
            <w:pPr>
              <w:spacing w:before="0" w:after="0"/>
            </w:pPr>
            <w:r>
              <w:rPr>
                <w:sz w:val="16"/>
              </w:rPr>
              <w:t>None</w:t>
            </w:r>
          </w:p>
        </w:tc>
      </w:tr>
    </w:tbl>
    <w:p>
      <w:pPr>
        <w:pStyle w:val="Heading1"/>
        <w:spacing w:before="0" w:after="28"/>
      </w:pPr>
      <w:r>
        <w:t>Gate conclusion</w:t>
      </w:r>
    </w:p>
    <w:p>
      <w:pPr>
        <w:spacing w:before="0" w:after="28"/>
      </w:pPr>
      <w:r>
        <w:t>The full alarms-runtime suite passed after applying the F-001 validation-order corrective. The canonical 30-minute temporal-soak contract, five-window boundedness adjudication and GREEN/REVIEW/FAIL result semantics are now validated together with the complete suite.</w:t>
      </w:r>
    </w:p>
    <w:p>
      <w:pPr>
        <w:pStyle w:val="Heading1"/>
        <w:spacing w:before="0" w:after="28"/>
      </w:pPr>
      <w:r>
        <w:t>Authorized workload</w:t>
      </w:r>
    </w:p>
    <w:p>
      <w:pPr>
        <w:spacing w:before="0" w:after="28"/>
      </w:pPr>
      <w:r>
        <w:t>F-001 is authorized as a single-owner Local FS duration-isolation soak: 500 alarms, Shared Latest, one logical view, one physical partition, no operational churn or control-plane pressure, stable PERF-AC-1 / PERF-TR-1, configured duration 1800 seconds, 5-second iteration period and 10-second refresh.</w:t>
      </w:r>
    </w:p>
    <w:p>
      <w:pPr>
        <w:pStyle w:val="Heading1"/>
        <w:spacing w:before="0" w:after="28"/>
      </w:pPr>
      <w:r>
        <w:t>Temporal contract</w:t>
      </w:r>
    </w:p>
    <w:p>
      <w:pPr>
        <w:spacing w:before="0" w:after="28"/>
      </w:pPr>
      <w:r>
        <w:t>The first 300 seconds are warmup. The remaining 1500 seconds are evaluated as five 300-second steady windows using the existing samples.jsonl telemetry. Expected execution is 361 iterations and exactly 7 durable records: bootstrap plus evidence at +300, +600, +900, +1200, +1500 and +1800 seconds.</w:t>
      </w:r>
    </w:p>
    <w:p>
      <w:pPr>
        <w:pStyle w:val="Heading1"/>
        <w:spacing w:before="0" w:after="28"/>
      </w:pPr>
      <w:r>
        <w:t>Interpretation</w:t>
      </w:r>
    </w:p>
    <w:p>
      <w:pPr>
        <w:spacing w:before="0" w:after="28"/>
      </w:pPr>
      <w:r>
        <w:t>Memory and latency trend classifications are computed separately. REVIEW remains non-fatal and maps to PASS with performance_class ACCEPTABLE/REVIEW. Hard boundedness, cadence or integrity violations map to FAIL/INVESTIGATE. CPU remains characterization-only. Natural deadline drain must complete successfully.</w:t>
      </w:r>
    </w:p>
    <w:p>
      <w:pPr>
        <w:pStyle w:val="Heading1"/>
        <w:spacing w:before="0" w:after="28"/>
      </w:pPr>
      <w:r>
        <w:t>Next action</w:t>
      </w:r>
    </w:p>
    <w:p>
      <w:pPr>
        <w:spacing w:before="0" w:after="28"/>
      </w:pPr>
      <w:r>
        <w:t>Clean only canonical F-001 work/results paths and execute the 1800-second authoritative soak. After completion, package F-001-results.zip and F-001-work.zip for independent audit of temporal windows, durable geometry, snapshots, runtime cadence and natural drain.</w:t>
      </w:r>
    </w:p>
    <w:sectPr w:rsidR="00FC693F" w:rsidRPr="0006063C" w:rsidSect="00034616"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5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