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0"/>
        <w:jc w:val="center"/>
      </w:pPr>
      <w:r>
        <w:t>Atlanticus R3.5F — F-001</w:t>
        <w:br/>
        <w:t>Soak 500 Local 30m Contract</w:t>
      </w:r>
    </w:p>
    <w:p>
      <w:pPr>
        <w:spacing w:before="0" w:after="30"/>
        <w:jc w:val="center"/>
      </w:pPr>
      <w:r>
        <w:rPr>
          <w:b/>
        </w:rPr>
        <w:t>Temporal stability design contract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CONTRACT READY / AWAITING ACCEPTANCE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Reference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A-003 authoritative baseline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Single-owner Local FS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Alarms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500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Data profile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Shared Latest baseline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Source geometry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1 logical view / 1 physical partition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Control-plane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Configuration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Stable PERF-AC-1 / PERF-TR-1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Duration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1800 s / 30 min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Iteration period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5 s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Data refresh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10 s</w:t>
            </w:r>
          </w:p>
        </w:tc>
      </w:tr>
    </w:tbl>
    <w:p>
      <w:pPr>
        <w:pStyle w:val="Heading1"/>
        <w:spacing w:before="0" w:after="30"/>
      </w:pPr>
      <w:r>
        <w:t>1. Design decision</w:t>
      </w:r>
    </w:p>
    <w:p>
      <w:pPr>
        <w:spacing w:before="0" w:after="30"/>
      </w:pPr>
      <w:r>
        <w:t>F-001 changes one dimension only: time. The original planner placeholder `Mixed realistic` is superseded for this first soak. The validated A-003 workload is preserved exactly and its configured duration is extended from 600 to 1800 seconds. This isolates temporal drift from new data, partition, churn or control-plane pressure.</w:t>
      </w:r>
    </w:p>
    <w:p>
      <w:pPr>
        <w:pStyle w:val="Heading1"/>
        <w:spacing w:before="0" w:after="30"/>
      </w:pPr>
      <w:r>
        <w:t>2. Reference baseline</w:t>
      </w:r>
    </w:p>
    <w:p>
      <w:pPr>
        <w:spacing w:before="0" w:after="30"/>
      </w:pPr>
      <w:r>
        <w:t>A-003 passed on GLONBW11 with 500 alarms for approximately 10 minutes: 121 iterations, p50/p95/p99/max 387.47/437.59/618.82/728.32 ms, average/peak RSS 130.55/131.27 MB and zero overruns. F-001 uses that result as the comparison point, but its PASS/REVIEW/FAIL decision is based primarily on within-run trend rather than absolute equality to A-003.</w:t>
      </w:r>
    </w:p>
    <w:p>
      <w:pPr>
        <w:pStyle w:val="Heading1"/>
        <w:spacing w:before="0" w:after="30"/>
      </w:pPr>
      <w:r>
        <w:t>3. Exact durable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Durable gate</w:t>
            </w:r>
          </w:p>
        </w:tc>
        <w:tc>
          <w:tcPr>
            <w:tcW w:type="dxa" w:w="5227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Expected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Expected iterations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361, including the +1800 s slot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Priority groups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Expected WAL records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7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Commit schedule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+0 bootstrap; +300/+600/+900/+1200/+1500/+1800 evidence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Unexpected durable writes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Duplicate commit IDs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Commit-chain mismatches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Final snapshots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Final snapshot alarms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500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Final authority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durable head == materialized head</w:t>
            </w:r>
          </w:p>
        </w:tc>
      </w:tr>
    </w:tbl>
    <w:p>
      <w:pPr>
        <w:pStyle w:val="Heading1"/>
        <w:spacing w:before="0" w:after="30"/>
      </w:pPr>
      <w:r>
        <w:t>4. Steady-state window model</w:t>
      </w:r>
    </w:p>
    <w:p>
      <w:pPr>
        <w:spacing w:before="0" w:after="30"/>
      </w:pPr>
      <w:r>
        <w:t>The first five minutes are warmup and are excluded from trend adjudication. The remaining 25 minutes are divided into five equal 5-minute windows using samples.jsonl. Each window contains 60 iteration samples: W1=(+300,+600], W2=(+600,+900], W3=(+900,+1200], W4=(+1200,+1500], W5=(+1500,+1800]. Metrics use rss_after_mb, duration_ms, cpu_percent and start_interval_ms.</w:t>
      </w:r>
    </w:p>
    <w:p>
      <w:pPr>
        <w:pStyle w:val="Heading1"/>
        <w:spacing w:before="0" w:after="30"/>
      </w:pPr>
      <w:r>
        <w:t>5. Memory boundedness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Classification</w:t>
            </w:r>
          </w:p>
        </w:tc>
        <w:tc>
          <w:tcPr>
            <w:tcW w:type="dxa" w:w="5227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RSS rule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GREEN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W5 median RSS &lt;= W1 median RSS × 1.05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REVIEW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W5/W1 median RSS &gt;1.05 and &lt;=1.10, or at least 4 of 5 window medians form a rising sequence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FAIL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W5 median RSS &gt; W1 × 1.10, OOM, process loss, or inability to complete the soak</w:t>
            </w:r>
          </w:p>
        </w:tc>
      </w:tr>
    </w:tbl>
    <w:p>
      <w:pPr>
        <w:pStyle w:val="Heading1"/>
        <w:spacing w:before="0" w:after="30"/>
      </w:pPr>
      <w:r>
        <w:t>6. Latency/cadence stability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Classification</w:t>
            </w:r>
          </w:p>
        </w:tc>
        <w:tc>
          <w:tcPr>
            <w:tcW w:type="dxa" w:w="5227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Latency rule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GREEN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Every steady-window p95 &lt;5000 ms; W5 p95 &lt;=1.25×W1; zero overruns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REVIEW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Any isolated overrun, or W5/W1 p95 &gt;1.25 and &lt;=1.50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FAIL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5"/>
              </w:rPr>
              <w:t>Overrun ratio &gt;=1%; two consecutive windows p95 &gt;=5000 ms; or W5/W1 p95 &gt;1.50</w:t>
            </w:r>
          </w:p>
        </w:tc>
      </w:tr>
    </w:tbl>
    <w:p>
      <w:pPr>
        <w:pStyle w:val="Heading1"/>
        <w:spacing w:before="0" w:after="30"/>
      </w:pPr>
      <w:r>
        <w:t>7. CPU interpretation</w:t>
      </w:r>
    </w:p>
    <w:p>
      <w:pPr>
        <w:spacing w:before="0" w:after="30"/>
      </w:pPr>
      <w:r>
        <w:t>cpu_percent in samples.jsonl measures active iteration work and is therefore characterization only. A high value does not fail F-001 by itself. CPU trend is retained alongside latency to help explain any degradation, but hard failure remains tied to integrity, bounded memory, cadence/latency or process survival.</w:t>
      </w:r>
    </w:p>
    <w:p>
      <w:pPr>
        <w:pStyle w:val="Heading1"/>
        <w:spacing w:before="0" w:after="30"/>
      </w:pPr>
      <w:r>
        <w:t>8. Natural stop and drain</w:t>
      </w:r>
    </w:p>
    <w:p>
      <w:pPr>
        <w:spacing w:before="0" w:after="30"/>
      </w:pPr>
      <w:r>
        <w:t>The execution ends through the normal 1800-second runtime deadline. The corrected Alarm Runtime drain path must complete successfully. Drain latency is reported separately and does not enter iteration p50/p95/p99. Recovery must leave durable and materialized heads aligned.</w:t>
      </w:r>
    </w:p>
    <w:p>
      <w:pPr>
        <w:pStyle w:val="Heading1"/>
        <w:spacing w:before="0" w:after="30"/>
      </w:pPr>
      <w:r>
        <w:t>9. Implementation boundary after acceptance</w:t>
      </w:r>
    </w:p>
    <w:p>
      <w:pPr>
        <w:spacing w:before="0" w:after="30"/>
      </w:pPr>
      <w:r>
        <w:t>No new runtime telemetry is required. The existing samples.jsonl already carries all time-series fields needed. After acceptance, the expected change is harness-only soak adjudication/summary plus regression tests and commented mirror where applicable. No product, Core, Persistence or runtime-scheduler modification is part of F-001.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