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"/>
        <w:jc w:val="center"/>
      </w:pPr>
      <w:r>
        <w:t>Atlanticus R3.5F — F-002</w:t>
        <w:br/>
        <w:t>Soak 1000 Local 30m Contract</w:t>
      </w:r>
    </w:p>
    <w:p>
      <w:pPr>
        <w:spacing w:before="0" w:after="24"/>
        <w:jc w:val="center"/>
      </w:pPr>
      <w:r>
        <w:rPr>
          <w:b/>
        </w:rPr>
        <w:t>Target-volume temporal stability contract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CONTRACT READY / AWAITING ACCEPTANCE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Reference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A-005 authoritative baseline + F-001 temporal model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Single-owner Local FS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Alarms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1000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Data profile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Shared Latest baseline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Source geometry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1 logical view / 1 physical partition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Control-plane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Stable PERF-AC-1 / PERF-TR-1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Duration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1800 s / 30 min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Iteration / refresh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5 s / 10 s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Warmup / window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300 s / 300 s</w:t>
            </w:r>
          </w:p>
        </w:tc>
      </w:tr>
    </w:tbl>
    <w:p>
      <w:pPr>
        <w:pStyle w:val="Heading1"/>
        <w:spacing w:before="0" w:after="24"/>
      </w:pPr>
      <w:r>
        <w:t>1. Design decision</w:t>
      </w:r>
    </w:p>
    <w:p>
      <w:pPr>
        <w:spacing w:before="0" w:after="24"/>
      </w:pPr>
      <w:r>
        <w:t>F-002 changes one dimension only: sustained time at the 1000-alarm target volume. The original `Mixed realistic` placeholder is superseded for this test. The validated A-005 workload is preserved and only configured duration changes from 600 to 1800 seconds. Mixed-realistic pressure is intentionally deferred to the later Docker final qualification.</w:t>
      </w:r>
    </w:p>
    <w:p>
      <w:pPr>
        <w:pStyle w:val="Heading1"/>
        <w:spacing w:before="0" w:after="24"/>
      </w:pPr>
      <w:r>
        <w:t>2. A-005 reference baseline</w:t>
      </w:r>
    </w:p>
    <w:p>
      <w:pPr>
        <w:spacing w:before="0" w:after="24"/>
      </w:pPr>
      <w:r>
        <w:t>A-005 passed on GLONBW11 with 1000 alarms for approximately 10 minutes: 121 iterations, p50/p95/p99/max 806.64/907.38/1230.24/1274.60 ms, average/peak RSS 136.52/139.62 MB, zero overruns, three durable commits, one final snapshot containing 1000 alarms and drain 401.48 ms. F-002 evaluates within-run temporal boundedness first; cross-run differences versus A-005 or F-001 are characterization only.</w:t>
      </w:r>
    </w:p>
    <w:p>
      <w:pPr>
        <w:pStyle w:val="Heading1"/>
        <w:spacing w:before="0" w:after="24"/>
      </w:pPr>
      <w:r>
        <w:t>3. Exact execution and durable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Expected iterations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361, including +1800 s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Priority groups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Expected WAL records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7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Commit schedule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+0 bootstrap; +300/+600/+900/+1200/+1500/+1800 evidence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Unexpected durable writes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Duplicate commit IDs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Commit-chain mismatches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Final snapshots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Final snapshot alarms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1000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Final authority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durable head == materialized head</w:t>
            </w:r>
          </w:p>
        </w:tc>
      </w:tr>
    </w:tbl>
    <w:p>
      <w:pPr>
        <w:pStyle w:val="Heading1"/>
        <w:spacing w:before="0" w:after="24"/>
      </w:pPr>
      <w:r>
        <w:t>4. Five-window temporal model</w:t>
      </w:r>
    </w:p>
    <w:p>
      <w:pPr>
        <w:spacing w:before="0" w:after="24"/>
      </w:pPr>
      <w:r>
        <w:t>The first 300 seconds are warmup and excluded from trend adjudication. The remaining 1500 seconds are divided into five 300-second steady windows, W1..W5, with 60 samples each. The same telemetry and thresholds validated by F-001 are reused: rss_after_mb, duration_ms, cpu_percent and start_interval_ms.</w:t>
      </w:r>
    </w:p>
    <w:p>
      <w:pPr>
        <w:pStyle w:val="Heading1"/>
        <w:spacing w:before="0" w:after="24"/>
      </w:pPr>
      <w:r>
        <w:t>5. Memory boundedness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Class</w:t>
            </w:r>
          </w:p>
        </w:tc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RSS rule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GREEN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W5 median RSS &lt;= W1 median RSS × 1.05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REVIEW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W5/W1 &gt;1.05 and &lt;=1.10, or at least 4 of 5 window medians form a rising sequence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FAIL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W5/W1 &gt;1.10, OOM, process loss, or incomplete soak</w:t>
            </w:r>
          </w:p>
        </w:tc>
      </w:tr>
    </w:tbl>
    <w:p>
      <w:pPr>
        <w:pStyle w:val="Heading1"/>
        <w:spacing w:before="0" w:after="24"/>
      </w:pPr>
      <w:r>
        <w:t>6. Latency and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Class</w:t>
            </w:r>
          </w:p>
        </w:tc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Latency rule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GREEN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All steady-window p95 &lt;5000 ms; W5/W1 &lt;=1.25; zero overruns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REVIEW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Any isolated overrun, or W5/W1 &gt;1.25 and &lt;=1.50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FAIL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Overrun ratio &gt;=1%; two consecutive windows p95&gt;=5000 ms; or W5/W1 &gt;1.50</w:t>
            </w:r>
          </w:p>
        </w:tc>
      </w:tr>
    </w:tbl>
    <w:p>
      <w:pPr>
        <w:pStyle w:val="Heading1"/>
        <w:spacing w:before="0" w:after="24"/>
      </w:pPr>
      <w:r>
        <w:t>7. Result semantics and shutdown</w:t>
      </w:r>
    </w:p>
    <w:p>
      <w:pPr>
        <w:spacing w:before="0" w:after="24"/>
      </w:pPr>
      <w:r>
        <w:t>GREEN maps to PASS/GREEN. REVIEW is non-fatal and maps to PASS with ACCEPTABLE/REVIEW. Hard boundedness, cadence or integrity failures map to FAIL/INVESTIGATE. CPU is characterization-only. The run ends through the natural 1800-second deadline and drain must complete successfully with durable/materialized alignment.</w:t>
      </w:r>
    </w:p>
    <w:p>
      <w:pPr>
        <w:pStyle w:val="Heading1"/>
        <w:spacing w:before="0" w:after="24"/>
      </w:pPr>
      <w:r>
        <w:t>8. Implementation boundary after acceptance</w:t>
      </w:r>
    </w:p>
    <w:p>
      <w:pPr>
        <w:spacing w:before="0" w:after="24"/>
      </w:pPr>
      <w:r>
        <w:t>No new telemetry or product instrumentation is required. F-001 already supplied the reusable temporal-soak metrics. After acceptance, the expected delta is only canonical F-002 contract validation and regression coverage, with the commented mirror if baseline.py changes. metrics.py and run.py should remain unchanged unless authoritative gate evidence requires otherwise.</w:t>
      </w:r>
    </w:p>
    <w:p>
      <w:pPr>
        <w:pStyle w:val="Heading1"/>
        <w:spacing w:before="0" w:after="24"/>
      </w:pPr>
      <w:r>
        <w:t>9. Campaign consequence</w:t>
      </w:r>
    </w:p>
    <w:p>
      <w:pPr>
        <w:spacing w:before="0" w:after="24"/>
      </w:pPr>
      <w:r>
        <w:t>If F-002 closes GREEN, F-003 60m remains conditional rather than mandatory. The next primary campaign step becomes Docker stress under constrained CPU/RAM, followed by the Final Docker Qualification with the most complete realistic workload.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