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
        <w:jc w:val="center"/>
      </w:pPr>
      <w:r>
        <w:t>Atlanticus R3.5F — F-007</w:t>
        <w:br/>
        <w:t>Dataset Capture + Manifest Contract</w:t>
      </w:r>
    </w:p>
    <w:p>
      <w:pPr>
        <w:spacing w:before="0" w:after="20"/>
        <w:jc w:val="center"/>
      </w:pPr>
      <w:r>
        <w:rPr>
          <w:b/>
        </w:rPr>
        <w:t>Real Volume v2 input gate · Contract v1.0.0 · 31 August 2026</w:t>
      </w:r>
    </w:p>
    <w:tbl>
      <w:tblPr>
        <w:tblStyle w:val="TableGrid"/>
        <w:tblW w:type="auto" w:w="0"/>
        <w:jc w:val="center"/>
        <w:tblLook w:firstColumn="1" w:firstRow="1" w:lastColumn="0" w:lastRow="0" w:noHBand="0" w:noVBand="1" w:val="04A0"/>
      </w:tblPr>
      <w:tblGrid>
        <w:gridCol w:w="5314"/>
        <w:gridCol w:w="5314"/>
      </w:tblGrid>
      <w:tr>
        <w:tc>
          <w:tcPr>
            <w:tcW w:type="dxa" w:w="5314"/>
            <w:shd w:fill="F2F2F2"/>
          </w:tcPr>
          <w:p>
            <w:pPr>
              <w:spacing w:before="0" w:after="0"/>
            </w:pPr>
            <w:r>
              <w:rPr>
                <w:sz w:val="14"/>
              </w:rPr>
              <w:t>Status</w:t>
            </w:r>
          </w:p>
        </w:tc>
        <w:tc>
          <w:tcPr>
            <w:tcW w:type="dxa" w:w="5314"/>
            <w:shd w:fill="F2F2F2"/>
          </w:tcPr>
          <w:p>
            <w:pPr>
              <w:spacing w:before="0" w:after="0"/>
            </w:pPr>
            <w:r>
              <w:rPr>
                <w:sz w:val="14"/>
              </w:rPr>
              <w:t>CONTRACT READY / HARNESS BLOCKED</w:t>
            </w:r>
          </w:p>
        </w:tc>
      </w:tr>
      <w:tr>
        <w:tc>
          <w:tcPr>
            <w:tcW w:type="dxa" w:w="5314"/>
          </w:tcPr>
          <w:p>
            <w:pPr>
              <w:spacing w:before="0" w:after="0"/>
            </w:pPr>
            <w:r>
              <w:rPr>
                <w:sz w:val="14"/>
              </w:rPr>
              <w:t>Purpose</w:t>
            </w:r>
          </w:p>
        </w:tc>
        <w:tc>
          <w:tcPr>
            <w:tcW w:type="dxa" w:w="5314"/>
          </w:tcPr>
          <w:p>
            <w:pPr>
              <w:spacing w:before="0" w:after="0"/>
            </w:pPr>
            <w:r>
              <w:rPr>
                <w:sz w:val="14"/>
              </w:rPr>
              <w:t>Freeze a representative physical Latest dataset before Real Volume v2</w:t>
            </w:r>
          </w:p>
        </w:tc>
      </w:tr>
      <w:tr>
        <w:tc>
          <w:tcPr>
            <w:tcW w:type="dxa" w:w="5314"/>
            <w:shd w:fill="F2F2F2"/>
          </w:tcPr>
          <w:p>
            <w:pPr>
              <w:spacing w:before="0" w:after="0"/>
            </w:pPr>
            <w:r>
              <w:rPr>
                <w:sz w:val="14"/>
              </w:rPr>
              <w:t>Preferred origin</w:t>
            </w:r>
          </w:p>
        </w:tc>
        <w:tc>
          <w:tcPr>
            <w:tcW w:type="dxa" w:w="5314"/>
            <w:shd w:fill="F2F2F2"/>
          </w:tcPr>
          <w:p>
            <w:pPr>
              <w:spacing w:before="0" w:after="0"/>
            </w:pPr>
            <w:r>
              <w:rPr>
                <w:sz w:val="14"/>
              </w:rPr>
              <w:t>Operational physical capture</w:t>
            </w:r>
          </w:p>
        </w:tc>
      </w:tr>
      <w:tr>
        <w:tc>
          <w:tcPr>
            <w:tcW w:type="dxa" w:w="5314"/>
          </w:tcPr>
          <w:p>
            <w:pPr>
              <w:spacing w:before="0" w:after="0"/>
            </w:pPr>
            <w:r>
              <w:rPr>
                <w:sz w:val="14"/>
              </w:rPr>
              <w:t>Fallback</w:t>
            </w:r>
          </w:p>
        </w:tc>
        <w:tc>
          <w:tcPr>
            <w:tcW w:type="dxa" w:w="5314"/>
          </w:tcPr>
          <w:p>
            <w:pPr>
              <w:spacing w:before="0" w:after="0"/>
            </w:pPr>
            <w:r>
              <w:rPr>
                <w:sz w:val="14"/>
              </w:rPr>
              <w:t>Sanitized operational-shape capture with representativeness gate</w:t>
            </w:r>
          </w:p>
        </w:tc>
      </w:tr>
      <w:tr>
        <w:tc>
          <w:tcPr>
            <w:tcW w:type="dxa" w:w="5314"/>
            <w:shd w:fill="F2F2F2"/>
          </w:tcPr>
          <w:p>
            <w:pPr>
              <w:spacing w:before="0" w:after="0"/>
            </w:pPr>
            <w:r>
              <w:rPr>
                <w:sz w:val="14"/>
              </w:rPr>
              <w:t>Authoritative format</w:t>
            </w:r>
          </w:p>
        </w:tc>
        <w:tc>
          <w:tcPr>
            <w:tcW w:type="dxa" w:w="5314"/>
            <w:shd w:fill="F2F2F2"/>
          </w:tcPr>
          <w:p>
            <w:pPr>
              <w:spacing w:before="0" w:after="0"/>
            </w:pPr>
            <w:r>
              <w:rPr>
                <w:sz w:val="14"/>
              </w:rPr>
              <w:t>Existing physical Parquet artifacts</w:t>
            </w:r>
          </w:p>
        </w:tc>
      </w:tr>
      <w:tr>
        <w:tc>
          <w:tcPr>
            <w:tcW w:type="dxa" w:w="5314"/>
          </w:tcPr>
          <w:p>
            <w:pPr>
              <w:spacing w:before="0" w:after="0"/>
            </w:pPr>
            <w:r>
              <w:rPr>
                <w:sz w:val="14"/>
              </w:rPr>
              <w:t>Container mount</w:t>
            </w:r>
          </w:p>
        </w:tc>
        <w:tc>
          <w:tcPr>
            <w:tcW w:type="dxa" w:w="5314"/>
          </w:tcPr>
          <w:p>
            <w:pPr>
              <w:spacing w:before="0" w:after="0"/>
            </w:pPr>
            <w:r>
              <w:rPr>
                <w:sz w:val="14"/>
              </w:rPr>
              <w:t>/f007/input:ro</w:t>
            </w:r>
          </w:p>
        </w:tc>
      </w:tr>
      <w:tr>
        <w:tc>
          <w:tcPr>
            <w:tcW w:type="dxa" w:w="5314"/>
            <w:shd w:fill="F2F2F2"/>
          </w:tcPr>
          <w:p>
            <w:pPr>
              <w:spacing w:before="0" w:after="0"/>
            </w:pPr>
            <w:r>
              <w:rPr>
                <w:sz w:val="14"/>
              </w:rPr>
              <w:t>Dataset generation during benchmark</w:t>
            </w:r>
          </w:p>
        </w:tc>
        <w:tc>
          <w:tcPr>
            <w:tcW w:type="dxa" w:w="5314"/>
            <w:shd w:fill="F2F2F2"/>
          </w:tcPr>
          <w:p>
            <w:pPr>
              <w:spacing w:before="0" w:after="0"/>
            </w:pPr>
            <w:r>
              <w:rPr>
                <w:sz w:val="14"/>
              </w:rPr>
              <w:t>Forbidden</w:t>
            </w:r>
          </w:p>
        </w:tc>
      </w:tr>
      <w:tr>
        <w:tc>
          <w:tcPr>
            <w:tcW w:type="dxa" w:w="5314"/>
          </w:tcPr>
          <w:p>
            <w:pPr>
              <w:spacing w:before="0" w:after="0"/>
            </w:pPr>
            <w:r>
              <w:rPr>
                <w:sz w:val="14"/>
              </w:rPr>
              <w:t>Synthetic widening to target alarm count</w:t>
            </w:r>
          </w:p>
        </w:tc>
        <w:tc>
          <w:tcPr>
            <w:tcW w:type="dxa" w:w="5314"/>
          </w:tcPr>
          <w:p>
            <w:pPr>
              <w:spacing w:before="0" w:after="0"/>
            </w:pPr>
            <w:r>
              <w:rPr>
                <w:sz w:val="14"/>
              </w:rPr>
              <w:t>Forbidden</w:t>
            </w:r>
          </w:p>
        </w:tc>
      </w:tr>
    </w:tbl>
    <w:p>
      <w:pPr>
        <w:pStyle w:val="Heading1"/>
        <w:spacing w:before="0" w:after="20"/>
      </w:pPr>
      <w:r>
        <w:t>1. Decision</w:t>
      </w:r>
    </w:p>
    <w:p>
      <w:pPr>
        <w:spacing w:before="0" w:after="20"/>
      </w:pPr>
      <w:r>
        <w:t>F-007 Real Volume v2 is accepted conceptually, but its harness and capacity ladder remain blocked until the physical input is independently frozen and accepted. The next gate is therefore a dataset gate, not a code gate.</w:t>
      </w:r>
    </w:p>
    <w:p>
      <w:pPr>
        <w:pStyle w:val="Heading1"/>
        <w:spacing w:before="0" w:after="20"/>
      </w:pPr>
      <w:r>
        <w:t>2. Capture principle</w:t>
      </w:r>
    </w:p>
    <w:p>
      <w:pPr>
        <w:spacing w:before="0" w:after="20"/>
      </w:pPr>
      <w:r>
        <w:t>The campaign must capture the physical Latest artifacts that represent the operational data path. The capture is created outside the measured container and is never generated, rewritten or mutated during the benchmark. Every resource envelope must mount the same accepted bytes read-only at /f007/input.</w:t>
      </w:r>
    </w:p>
    <w:p>
      <w:pPr>
        <w:pStyle w:val="Heading1"/>
        <w:spacing w:before="0" w:after="20"/>
      </w:pPr>
      <w:r>
        <w:t>3. Do not fabricate the capacity ceiling</w:t>
      </w:r>
    </w:p>
    <w:p>
      <w:pPr>
        <w:spacing w:before="0" w:after="20"/>
      </w:pPr>
      <w:r>
        <w:t>The campaign no longer assumes that 8000 signals must exist. The authoritative maximum alarm-count ladder is derived from the number of real projectable signals in the accepted capture. If the physical dataset supports fewer signals, F-007 reports that tested ceiling rather than adding synthetic columns. This preserves CPU, RAM, compression and I/O realism.</w:t>
      </w:r>
    </w:p>
    <w:p>
      <w:pPr>
        <w:pStyle w:val="Heading1"/>
        <w:spacing w:before="0" w:after="20"/>
      </w:pPr>
      <w:r>
        <w:t>4. Manifest v1</w:t>
      </w:r>
    </w:p>
    <w:tbl>
      <w:tblPr>
        <w:tblStyle w:val="TableGrid"/>
        <w:tblW w:type="auto" w:w="0"/>
        <w:jc w:val="center"/>
        <w:tblLook w:firstColumn="1" w:firstRow="1" w:lastColumn="0" w:lastRow="0" w:noHBand="0" w:noVBand="1" w:val="04A0"/>
      </w:tblPr>
      <w:tblGrid>
        <w:gridCol w:w="5314"/>
        <w:gridCol w:w="5314"/>
      </w:tblGrid>
      <w:tr>
        <w:tc>
          <w:tcPr>
            <w:tcW w:type="dxa" w:w="5314"/>
            <w:shd w:fill="D9EAF7"/>
          </w:tcPr>
          <w:p>
            <w:pPr>
              <w:spacing w:before="0" w:after="0"/>
            </w:pPr>
            <w:r>
              <w:rPr>
                <w:b/>
                <w:sz w:val="14"/>
              </w:rPr>
              <w:t>Field group</w:t>
            </w:r>
          </w:p>
        </w:tc>
        <w:tc>
          <w:tcPr>
            <w:tcW w:type="dxa" w:w="5314"/>
            <w:shd w:fill="D9EAF7"/>
          </w:tcPr>
          <w:p>
            <w:pPr>
              <w:spacing w:before="0" w:after="0"/>
            </w:pPr>
            <w:r>
              <w:rPr>
                <w:b/>
                <w:sz w:val="14"/>
              </w:rPr>
              <w:t>Required evidence</w:t>
            </w:r>
          </w:p>
        </w:tc>
      </w:tr>
      <w:tr>
        <w:tc>
          <w:tcPr>
            <w:tcW w:type="dxa" w:w="5314"/>
          </w:tcPr>
          <w:p>
            <w:pPr>
              <w:spacing w:before="0" w:after="0"/>
            </w:pPr>
            <w:r>
              <w:rPr>
                <w:sz w:val="14"/>
              </w:rPr>
              <w:t>Identity</w:t>
            </w:r>
          </w:p>
        </w:tc>
        <w:tc>
          <w:tcPr>
            <w:tcW w:type="dxa" w:w="5314"/>
          </w:tcPr>
          <w:p>
            <w:pPr>
              <w:spacing w:before="0" w:after="0"/>
            </w:pPr>
            <w:r>
              <w:rPr>
                <w:sz w:val="14"/>
              </w:rPr>
              <w:t>manifest_version, dataset_id, schema_version, captured_at_utc, origin_class</w:t>
            </w:r>
          </w:p>
        </w:tc>
      </w:tr>
      <w:tr>
        <w:tc>
          <w:tcPr>
            <w:tcW w:type="dxa" w:w="5314"/>
          </w:tcPr>
          <w:p>
            <w:pPr>
              <w:spacing w:before="0" w:after="0"/>
            </w:pPr>
            <w:r>
              <w:rPr>
                <w:sz w:val="14"/>
              </w:rPr>
              <w:t>Source</w:t>
            </w:r>
          </w:p>
        </w:tc>
        <w:tc>
          <w:tcPr>
            <w:tcW w:type="dxa" w:w="5314"/>
          </w:tcPr>
          <w:p>
            <w:pPr>
              <w:spacing w:before="0" w:after="0"/>
            </w:pPr>
            <w:r>
              <w:rPr>
                <w:sz w:val="14"/>
              </w:rPr>
              <w:t>named source identity, dataset namespace/name, materialization=latest, optional publication/revision</w:t>
            </w:r>
          </w:p>
        </w:tc>
      </w:tr>
      <w:tr>
        <w:tc>
          <w:tcPr>
            <w:tcW w:type="dxa" w:w="5314"/>
          </w:tcPr>
          <w:p>
            <w:pPr>
              <w:spacing w:before="0" w:after="0"/>
            </w:pPr>
            <w:r>
              <w:rPr>
                <w:sz w:val="14"/>
              </w:rPr>
              <w:t>Mount</w:t>
            </w:r>
          </w:p>
        </w:tc>
        <w:tc>
          <w:tcPr>
            <w:tcW w:type="dxa" w:w="5314"/>
          </w:tcPr>
          <w:p>
            <w:pPr>
              <w:spacing w:before="0" w:after="0"/>
            </w:pPr>
            <w:r>
              <w:rPr>
                <w:sz w:val="14"/>
              </w:rPr>
              <w:t>/f007/input and read_only=true</w:t>
            </w:r>
          </w:p>
        </w:tc>
      </w:tr>
      <w:tr>
        <w:tc>
          <w:tcPr>
            <w:tcW w:type="dxa" w:w="5314"/>
          </w:tcPr>
          <w:p>
            <w:pPr>
              <w:spacing w:before="0" w:after="0"/>
            </w:pPr>
            <w:r>
              <w:rPr>
                <w:sz w:val="14"/>
              </w:rPr>
              <w:t>Files</w:t>
            </w:r>
          </w:p>
        </w:tc>
        <w:tc>
          <w:tcPr>
            <w:tcW w:type="dxa" w:w="5314"/>
          </w:tcPr>
          <w:p>
            <w:pPr>
              <w:spacing w:before="0" w:after="0"/>
            </w:pPr>
            <w:r>
              <w:rPr>
                <w:sz w:val="14"/>
              </w:rPr>
              <w:t>mount-relative path, SHA-256, bytes, rows, columns, row groups, codecs, file schema fingerprint</w:t>
            </w:r>
          </w:p>
        </w:tc>
      </w:tr>
      <w:tr>
        <w:tc>
          <w:tcPr>
            <w:tcW w:type="dxa" w:w="5314"/>
          </w:tcPr>
          <w:p>
            <w:pPr>
              <w:spacing w:before="0" w:after="0"/>
            </w:pPr>
            <w:r>
              <w:rPr>
                <w:sz w:val="14"/>
              </w:rPr>
              <w:t>Aggregate</w:t>
            </w:r>
          </w:p>
        </w:tc>
        <w:tc>
          <w:tcPr>
            <w:tcW w:type="dxa" w:w="5314"/>
          </w:tcPr>
          <w:p>
            <w:pPr>
              <w:spacing w:before="0" w:after="0"/>
            </w:pPr>
            <w:r>
              <w:rPr>
                <w:sz w:val="14"/>
              </w:rPr>
              <w:t>file_count, total_bytes, physical row sum, physical columns, projectable signals, total row groups</w:t>
            </w:r>
          </w:p>
        </w:tc>
      </w:tr>
      <w:tr>
        <w:tc>
          <w:tcPr>
            <w:tcW w:type="dxa" w:w="5314"/>
          </w:tcPr>
          <w:p>
            <w:pPr>
              <w:spacing w:before="0" w:after="0"/>
            </w:pPr>
            <w:r>
              <w:rPr>
                <w:sz w:val="14"/>
              </w:rPr>
              <w:t>Schema</w:t>
            </w:r>
          </w:p>
        </w:tc>
        <w:tc>
          <w:tcPr>
            <w:tcW w:type="dxa" w:w="5314"/>
          </w:tcPr>
          <w:p>
            <w:pPr>
              <w:spacing w:before="0" w:after="0"/>
            </w:pPr>
            <w:r>
              <w:rPr>
                <w:sz w:val="14"/>
              </w:rPr>
              <w:t>canonical schema fingerprint plus name/type/nullability/role for every field</w:t>
            </w:r>
          </w:p>
        </w:tc>
      </w:tr>
      <w:tr>
        <w:tc>
          <w:tcPr>
            <w:tcW w:type="dxa" w:w="5314"/>
          </w:tcPr>
          <w:p>
            <w:pPr>
              <w:spacing w:before="0" w:after="0"/>
            </w:pPr>
            <w:r>
              <w:rPr>
                <w:sz w:val="14"/>
              </w:rPr>
              <w:t>Layout</w:t>
            </w:r>
          </w:p>
        </w:tc>
        <w:tc>
          <w:tcPr>
            <w:tcW w:type="dxa" w:w="5314"/>
          </w:tcPr>
          <w:p>
            <w:pPr>
              <w:spacing w:before="0" w:after="0"/>
            </w:pPr>
            <w:r>
              <w:rPr>
                <w:sz w:val="14"/>
              </w:rPr>
              <w:t>single-artifact/file-set/partitioned and partition dimensions</w:t>
            </w:r>
          </w:p>
        </w:tc>
      </w:tr>
      <w:tr>
        <w:tc>
          <w:tcPr>
            <w:tcW w:type="dxa" w:w="5314"/>
          </w:tcPr>
          <w:p>
            <w:pPr>
              <w:spacing w:before="0" w:after="0"/>
            </w:pPr>
            <w:r>
              <w:rPr>
                <w:sz w:val="14"/>
              </w:rPr>
              <w:t>Security</w:t>
            </w:r>
          </w:p>
        </w:tc>
        <w:tc>
          <w:tcPr>
            <w:tcW w:type="dxa" w:w="5314"/>
          </w:tcPr>
          <w:p>
            <w:pPr>
              <w:spacing w:before="0" w:after="0"/>
            </w:pPr>
            <w:r>
              <w:rPr>
                <w:sz w:val="14"/>
              </w:rPr>
              <w:t>whether raw operational values are present; never record secrets</w:t>
            </w:r>
          </w:p>
        </w:tc>
      </w:tr>
    </w:tbl>
    <w:p>
      <w:pPr>
        <w:pStyle w:val="Heading1"/>
        <w:spacing w:before="0" w:after="20"/>
      </w:pPr>
      <w:r>
        <w:t>5. Aggregate fingerprint</w:t>
      </w:r>
    </w:p>
    <w:p>
      <w:pPr>
        <w:spacing w:before="0" w:after="20"/>
      </w:pPr>
      <w:r>
        <w:t>The aggregate dataset fingerprint is deterministic and independent of filesystem enumeration order. Compute SHA-256 for every file, sort entries by mount-relative path, concatenate each entry as '&lt;path&gt;\t&lt;file_sha256&gt;\n', then SHA-256 the UTF-8 canonical text. Every measured stage must verify this aggregate fingerprint before prewarm. A mismatch makes the stage INVALID.</w:t>
      </w:r>
    </w:p>
    <w:p>
      <w:pPr>
        <w:pStyle w:val="Heading1"/>
        <w:spacing w:before="0" w:after="20"/>
      </w:pPr>
      <w:r>
        <w:t>6. Exact copy versus sanitization</w:t>
      </w:r>
    </w:p>
    <w:tbl>
      <w:tblPr>
        <w:tblStyle w:val="TableGrid"/>
        <w:tblW w:type="auto" w:w="0"/>
        <w:jc w:val="center"/>
        <w:tblLook w:firstColumn="1" w:firstRow="1" w:lastColumn="0" w:lastRow="0" w:noHBand="0" w:noVBand="1" w:val="04A0"/>
      </w:tblPr>
      <w:tblGrid>
        <w:gridCol w:w="5314"/>
        <w:gridCol w:w="5314"/>
      </w:tblGrid>
      <w:tr>
        <w:tc>
          <w:tcPr>
            <w:tcW w:type="dxa" w:w="5314"/>
            <w:shd w:fill="D9EAF7"/>
          </w:tcPr>
          <w:p>
            <w:pPr>
              <w:spacing w:before="0" w:after="0"/>
            </w:pPr>
            <w:r>
              <w:rPr>
                <w:b/>
                <w:sz w:val="14"/>
              </w:rPr>
              <w:t>Input class</w:t>
            </w:r>
          </w:p>
        </w:tc>
        <w:tc>
          <w:tcPr>
            <w:tcW w:type="dxa" w:w="5314"/>
            <w:shd w:fill="D9EAF7"/>
          </w:tcPr>
          <w:p>
            <w:pPr>
              <w:spacing w:before="0" w:after="0"/>
            </w:pPr>
            <w:r>
              <w:rPr>
                <w:b/>
                <w:sz w:val="14"/>
              </w:rPr>
              <w:t>Acceptance</w:t>
            </w:r>
          </w:p>
        </w:tc>
      </w:tr>
      <w:tr>
        <w:tc>
          <w:tcPr>
            <w:tcW w:type="dxa" w:w="5314"/>
          </w:tcPr>
          <w:p>
            <w:pPr>
              <w:spacing w:before="0" w:after="0"/>
            </w:pPr>
            <w:r>
              <w:rPr>
                <w:sz w:val="14"/>
              </w:rPr>
              <w:t>Exact operational copy</w:t>
            </w:r>
          </w:p>
        </w:tc>
        <w:tc>
          <w:tcPr>
            <w:tcW w:type="dxa" w:w="5314"/>
          </w:tcPr>
          <w:p>
            <w:pPr>
              <w:spacing w:before="0" w:after="0"/>
            </w:pPr>
            <w:r>
              <w:rPr>
                <w:sz w:val="14"/>
              </w:rPr>
              <w:t>Preferred. Physical characteristics are authoritative by construction.</w:t>
            </w:r>
          </w:p>
        </w:tc>
      </w:tr>
      <w:tr>
        <w:tc>
          <w:tcPr>
            <w:tcW w:type="dxa" w:w="5314"/>
          </w:tcPr>
          <w:p>
            <w:pPr>
              <w:spacing w:before="0" w:after="0"/>
            </w:pPr>
            <w:r>
              <w:rPr>
                <w:sz w:val="14"/>
              </w:rPr>
              <w:t>Sanitized operational-shape copy</w:t>
            </w:r>
          </w:p>
        </w:tc>
        <w:tc>
          <w:tcPr>
            <w:tcW w:type="dxa" w:w="5314"/>
          </w:tcPr>
          <w:p>
            <w:pPr>
              <w:spacing w:before="0" w:after="0"/>
            </w:pPr>
            <w:r>
              <w:rPr>
                <w:sz w:val="14"/>
              </w:rPr>
              <w:t>Allowed only with a representativeness report against the source capture.</w:t>
            </w:r>
          </w:p>
        </w:tc>
      </w:tr>
      <w:tr>
        <w:tc>
          <w:tcPr>
            <w:tcW w:type="dxa" w:w="5314"/>
          </w:tcPr>
          <w:p>
            <w:pPr>
              <w:spacing w:before="0" w:after="0"/>
            </w:pPr>
            <w:r>
              <w:rPr>
                <w:sz w:val="14"/>
              </w:rPr>
              <w:t>New random/synthetic fixture</w:t>
            </w:r>
          </w:p>
        </w:tc>
        <w:tc>
          <w:tcPr>
            <w:tcW w:type="dxa" w:w="5314"/>
          </w:tcPr>
          <w:p>
            <w:pPr>
              <w:spacing w:before="0" w:after="0"/>
            </w:pPr>
            <w:r>
              <w:rPr>
                <w:sz w:val="14"/>
              </w:rPr>
              <w:t>Rejected for authoritative capacity.</w:t>
            </w:r>
          </w:p>
        </w:tc>
      </w:tr>
    </w:tbl>
    <w:p>
      <w:pPr>
        <w:spacing w:before="0" w:after="20"/>
      </w:pPr>
      <w:r>
        <w:t>Sanitization must not convert the source into a new benchmark. Preserve data types, nullability, null ratios, timestamp spacing, approximate cardinality, compression-relevant distributions, row-group geometry, compression codecs and partition/layout structure.</w:t>
      </w:r>
    </w:p>
    <w:p>
      <w:pPr>
        <w:pStyle w:val="Heading1"/>
        <w:spacing w:before="0" w:after="20"/>
      </w:pPr>
      <w:r>
        <w:t>7. Representativeness gate for sanitized inputs</w:t>
      </w:r>
    </w:p>
    <w:tbl>
      <w:tblPr>
        <w:tblStyle w:val="TableGrid"/>
        <w:tblW w:type="auto" w:w="0"/>
        <w:jc w:val="center"/>
        <w:tblLook w:firstColumn="1" w:firstRow="1" w:lastColumn="0" w:lastRow="0" w:noHBand="0" w:noVBand="1" w:val="04A0"/>
      </w:tblPr>
      <w:tblGrid>
        <w:gridCol w:w="5314"/>
        <w:gridCol w:w="5314"/>
      </w:tblGrid>
      <w:tr>
        <w:tc>
          <w:tcPr>
            <w:tcW w:type="dxa" w:w="5314"/>
            <w:shd w:fill="D9EAF7"/>
          </w:tcPr>
          <w:p>
            <w:pPr>
              <w:spacing w:before="0" w:after="0"/>
            </w:pPr>
            <w:r>
              <w:rPr>
                <w:b/>
                <w:sz w:val="14"/>
              </w:rPr>
              <w:t>Check</w:t>
            </w:r>
          </w:p>
        </w:tc>
        <w:tc>
          <w:tcPr>
            <w:tcW w:type="dxa" w:w="5314"/>
            <w:shd w:fill="D9EAF7"/>
          </w:tcPr>
          <w:p>
            <w:pPr>
              <w:spacing w:before="0" w:after="0"/>
            </w:pPr>
            <w:r>
              <w:rPr>
                <w:b/>
                <w:sz w:val="14"/>
              </w:rPr>
              <w:t>Initial acceptance rule</w:t>
            </w:r>
          </w:p>
        </w:tc>
      </w:tr>
      <w:tr>
        <w:tc>
          <w:tcPr>
            <w:tcW w:type="dxa" w:w="5314"/>
          </w:tcPr>
          <w:p>
            <w:pPr>
              <w:spacing w:before="0" w:after="0"/>
            </w:pPr>
            <w:r>
              <w:rPr>
                <w:sz w:val="14"/>
              </w:rPr>
              <w:t>File count</w:t>
            </w:r>
          </w:p>
        </w:tc>
        <w:tc>
          <w:tcPr>
            <w:tcW w:type="dxa" w:w="5314"/>
          </w:tcPr>
          <w:p>
            <w:pPr>
              <w:spacing w:before="0" w:after="0"/>
            </w:pPr>
            <w:r>
              <w:rPr>
                <w:sz w:val="14"/>
              </w:rPr>
              <w:t>Exact</w:t>
            </w:r>
          </w:p>
        </w:tc>
      </w:tr>
      <w:tr>
        <w:tc>
          <w:tcPr>
            <w:tcW w:type="dxa" w:w="5314"/>
          </w:tcPr>
          <w:p>
            <w:pPr>
              <w:spacing w:before="0" w:after="0"/>
            </w:pPr>
            <w:r>
              <w:rPr>
                <w:sz w:val="14"/>
              </w:rPr>
              <w:t>Schema types/nullability</w:t>
            </w:r>
          </w:p>
        </w:tc>
        <w:tc>
          <w:tcPr>
            <w:tcW w:type="dxa" w:w="5314"/>
          </w:tcPr>
          <w:p>
            <w:pPr>
              <w:spacing w:before="0" w:after="0"/>
            </w:pPr>
            <w:r>
              <w:rPr>
                <w:sz w:val="14"/>
              </w:rPr>
              <w:t>Exact</w:t>
            </w:r>
          </w:p>
        </w:tc>
      </w:tr>
      <w:tr>
        <w:tc>
          <w:tcPr>
            <w:tcW w:type="dxa" w:w="5314"/>
          </w:tcPr>
          <w:p>
            <w:pPr>
              <w:spacing w:before="0" w:after="0"/>
            </w:pPr>
            <w:r>
              <w:rPr>
                <w:sz w:val="14"/>
              </w:rPr>
              <w:t>Partition/layout</w:t>
            </w:r>
          </w:p>
        </w:tc>
        <w:tc>
          <w:tcPr>
            <w:tcW w:type="dxa" w:w="5314"/>
          </w:tcPr>
          <w:p>
            <w:pPr>
              <w:spacing w:before="0" w:after="0"/>
            </w:pPr>
            <w:r>
              <w:rPr>
                <w:sz w:val="14"/>
              </w:rPr>
              <w:t>Exact</w:t>
            </w:r>
          </w:p>
        </w:tc>
      </w:tr>
      <w:tr>
        <w:tc>
          <w:tcPr>
            <w:tcW w:type="dxa" w:w="5314"/>
          </w:tcPr>
          <w:p>
            <w:pPr>
              <w:spacing w:before="0" w:after="0"/>
            </w:pPr>
            <w:r>
              <w:rPr>
                <w:sz w:val="14"/>
              </w:rPr>
              <w:t>Row-group count/geometry</w:t>
            </w:r>
          </w:p>
        </w:tc>
        <w:tc>
          <w:tcPr>
            <w:tcW w:type="dxa" w:w="5314"/>
          </w:tcPr>
          <w:p>
            <w:pPr>
              <w:spacing w:before="0" w:after="0"/>
            </w:pPr>
            <w:r>
              <w:rPr>
                <w:sz w:val="14"/>
              </w:rPr>
              <w:t>Equivalent</w:t>
            </w:r>
          </w:p>
        </w:tc>
      </w:tr>
      <w:tr>
        <w:tc>
          <w:tcPr>
            <w:tcW w:type="dxa" w:w="5314"/>
          </w:tcPr>
          <w:p>
            <w:pPr>
              <w:spacing w:before="0" w:after="0"/>
            </w:pPr>
            <w:r>
              <w:rPr>
                <w:sz w:val="14"/>
              </w:rPr>
              <w:t>Compression codecs</w:t>
            </w:r>
          </w:p>
        </w:tc>
        <w:tc>
          <w:tcPr>
            <w:tcW w:type="dxa" w:w="5314"/>
          </w:tcPr>
          <w:p>
            <w:pPr>
              <w:spacing w:before="0" w:after="0"/>
            </w:pPr>
            <w:r>
              <w:rPr>
                <w:sz w:val="14"/>
              </w:rPr>
              <w:t>Equivalent</w:t>
            </w:r>
          </w:p>
        </w:tc>
      </w:tr>
      <w:tr>
        <w:tc>
          <w:tcPr>
            <w:tcW w:type="dxa" w:w="5314"/>
          </w:tcPr>
          <w:p>
            <w:pPr>
              <w:spacing w:before="0" w:after="0"/>
            </w:pPr>
            <w:r>
              <w:rPr>
                <w:sz w:val="14"/>
              </w:rPr>
              <w:t>Row count</w:t>
            </w:r>
          </w:p>
        </w:tc>
        <w:tc>
          <w:tcPr>
            <w:tcW w:type="dxa" w:w="5314"/>
          </w:tcPr>
          <w:p>
            <w:pPr>
              <w:spacing w:before="0" w:after="0"/>
            </w:pPr>
            <w:r>
              <w:rPr>
                <w:sz w:val="14"/>
              </w:rPr>
              <w:t>Exact unless explicitly justified</w:t>
            </w:r>
          </w:p>
        </w:tc>
      </w:tr>
      <w:tr>
        <w:tc>
          <w:tcPr>
            <w:tcW w:type="dxa" w:w="5314"/>
          </w:tcPr>
          <w:p>
            <w:pPr>
              <w:spacing w:before="0" w:after="0"/>
            </w:pPr>
            <w:r>
              <w:rPr>
                <w:sz w:val="14"/>
              </w:rPr>
              <w:t>Per-file compressed bytes</w:t>
            </w:r>
          </w:p>
        </w:tc>
        <w:tc>
          <w:tcPr>
            <w:tcW w:type="dxa" w:w="5314"/>
          </w:tcPr>
          <w:p>
            <w:pPr>
              <w:spacing w:before="0" w:after="0"/>
            </w:pPr>
            <w:r>
              <w:rPr>
                <w:sz w:val="14"/>
              </w:rPr>
              <w:t>Normally within ±10% of source</w:t>
            </w:r>
          </w:p>
        </w:tc>
      </w:tr>
      <w:tr>
        <w:tc>
          <w:tcPr>
            <w:tcW w:type="dxa" w:w="5314"/>
          </w:tcPr>
          <w:p>
            <w:pPr>
              <w:spacing w:before="0" w:after="0"/>
            </w:pPr>
            <w:r>
              <w:rPr>
                <w:sz w:val="14"/>
              </w:rPr>
              <w:t>Aggregate compressed bytes</w:t>
            </w:r>
          </w:p>
        </w:tc>
        <w:tc>
          <w:tcPr>
            <w:tcW w:type="dxa" w:w="5314"/>
          </w:tcPr>
          <w:p>
            <w:pPr>
              <w:spacing w:before="0" w:after="0"/>
            </w:pPr>
            <w:r>
              <w:rPr>
                <w:sz w:val="14"/>
              </w:rPr>
              <w:t>Normally within ±10% of source</w:t>
            </w:r>
          </w:p>
        </w:tc>
      </w:tr>
      <w:tr>
        <w:tc>
          <w:tcPr>
            <w:tcW w:type="dxa" w:w="5314"/>
          </w:tcPr>
          <w:p>
            <w:pPr>
              <w:spacing w:before="0" w:after="0"/>
            </w:pPr>
            <w:r>
              <w:rPr>
                <w:sz w:val="14"/>
              </w:rPr>
              <w:t>Null/timestamp/cardinality behavior</w:t>
            </w:r>
          </w:p>
        </w:tc>
        <w:tc>
          <w:tcPr>
            <w:tcW w:type="dxa" w:w="5314"/>
          </w:tcPr>
          <w:p>
            <w:pPr>
              <w:spacing w:before="0" w:after="0"/>
            </w:pPr>
            <w:r>
              <w:rPr>
                <w:sz w:val="14"/>
              </w:rPr>
              <w:t>Structurally comparable; deviations documented</w:t>
            </w:r>
          </w:p>
        </w:tc>
      </w:tr>
    </w:tbl>
    <w:p>
      <w:pPr>
        <w:spacing w:before="0" w:after="20"/>
      </w:pPr>
      <w:r>
        <w:t>The ±10% size tolerance is an initial campaign rule, not a universal product rule. Larger differences require explicit review because they can materially alter filesystem I/O, page-cache residency and decompression cost.</w:t>
      </w:r>
    </w:p>
    <w:p>
      <w:pPr>
        <w:pStyle w:val="Heading1"/>
        <w:spacing w:before="0" w:after="20"/>
      </w:pPr>
      <w:r>
        <w:t>8. Security and retention</w:t>
      </w:r>
    </w:p>
    <w:p>
      <w:pPr>
        <w:spacing w:before="0" w:after="20"/>
      </w:pPr>
      <w:r>
        <w:t>The raw capture does not need to be committed to Git or embedded in campaign documents. Campaign records retain manifest hashes, physical statistics and the acceptance checkpoint. When operational values are not required for evaluation, prefer a sanitized copy that preserves physical characteristics. Secrets must never appear in the dataset, manifest or logs.</w:t>
      </w:r>
    </w:p>
    <w:p>
      <w:pPr>
        <w:pStyle w:val="Heading1"/>
        <w:spacing w:before="0" w:after="20"/>
      </w:pPr>
      <w:r>
        <w:t>9. Capture package</w:t>
      </w:r>
    </w:p>
    <w:p>
      <w:pPr>
        <w:spacing w:before="0" w:after="20"/>
      </w:pPr>
      <w:r>
        <w:t>The portable input package consists of the physical dataset directory, f007-dataset-manifest.json and, only when sanitization was performed, f007-representativeness.json. The measured container mounts only the physical dataset directory read-only; the manifest and report are copied into run results for traceability.</w:t>
      </w:r>
    </w:p>
    <w:p>
      <w:pPr>
        <w:pStyle w:val="Heading1"/>
        <w:spacing w:before="0" w:after="20"/>
      </w:pPr>
      <w:r>
        <w:t>10. Acceptance gate</w:t>
      </w:r>
    </w:p>
    <w:tbl>
      <w:tblPr>
        <w:tblStyle w:val="TableGrid"/>
        <w:tblW w:type="auto" w:w="0"/>
        <w:jc w:val="center"/>
        <w:tblLook w:firstColumn="1" w:firstRow="1" w:lastColumn="0" w:lastRow="0" w:noHBand="0" w:noVBand="1" w:val="04A0"/>
      </w:tblPr>
      <w:tblGrid>
        <w:gridCol w:w="5314"/>
        <w:gridCol w:w="5314"/>
      </w:tblGrid>
      <w:tr>
        <w:tc>
          <w:tcPr>
            <w:tcW w:type="dxa" w:w="5314"/>
            <w:shd w:fill="D9EAF7"/>
          </w:tcPr>
          <w:p>
            <w:pPr>
              <w:spacing w:before="0" w:after="0"/>
            </w:pPr>
            <w:r>
              <w:rPr>
                <w:b/>
                <w:sz w:val="14"/>
              </w:rPr>
              <w:t>Gate</w:t>
            </w:r>
          </w:p>
        </w:tc>
        <w:tc>
          <w:tcPr>
            <w:tcW w:type="dxa" w:w="5314"/>
            <w:shd w:fill="D9EAF7"/>
          </w:tcPr>
          <w:p>
            <w:pPr>
              <w:spacing w:before="0" w:after="0"/>
            </w:pPr>
            <w:r>
              <w:rPr>
                <w:b/>
                <w:sz w:val="14"/>
              </w:rPr>
              <w:t>Required result</w:t>
            </w:r>
          </w:p>
        </w:tc>
      </w:tr>
      <w:tr>
        <w:tc>
          <w:tcPr>
            <w:tcW w:type="dxa" w:w="5314"/>
          </w:tcPr>
          <w:p>
            <w:pPr>
              <w:spacing w:before="0" w:after="0"/>
            </w:pPr>
            <w:r>
              <w:rPr>
                <w:sz w:val="14"/>
              </w:rPr>
              <w:t>Physical artifacts exist before benchmark</w:t>
            </w:r>
          </w:p>
        </w:tc>
        <w:tc>
          <w:tcPr>
            <w:tcW w:type="dxa" w:w="5314"/>
          </w:tcPr>
          <w:p>
            <w:pPr>
              <w:spacing w:before="0" w:after="0"/>
            </w:pPr>
            <w:r>
              <w:rPr>
                <w:sz w:val="14"/>
              </w:rPr>
              <w:t>PASS</w:t>
            </w:r>
          </w:p>
        </w:tc>
      </w:tr>
      <w:tr>
        <w:tc>
          <w:tcPr>
            <w:tcW w:type="dxa" w:w="5314"/>
          </w:tcPr>
          <w:p>
            <w:pPr>
              <w:spacing w:before="0" w:after="0"/>
            </w:pPr>
            <w:r>
              <w:rPr>
                <w:sz w:val="14"/>
              </w:rPr>
              <w:t>Manifest parses and is complete</w:t>
            </w:r>
          </w:p>
        </w:tc>
        <w:tc>
          <w:tcPr>
            <w:tcW w:type="dxa" w:w="5314"/>
          </w:tcPr>
          <w:p>
            <w:pPr>
              <w:spacing w:before="0" w:after="0"/>
            </w:pPr>
            <w:r>
              <w:rPr>
                <w:sz w:val="14"/>
              </w:rPr>
              <w:t>PASS</w:t>
            </w:r>
          </w:p>
        </w:tc>
      </w:tr>
      <w:tr>
        <w:tc>
          <w:tcPr>
            <w:tcW w:type="dxa" w:w="5314"/>
          </w:tcPr>
          <w:p>
            <w:pPr>
              <w:spacing w:before="0" w:after="0"/>
            </w:pPr>
            <w:r>
              <w:rPr>
                <w:sz w:val="14"/>
              </w:rPr>
              <w:t>All per-file hashes</w:t>
            </w:r>
          </w:p>
        </w:tc>
        <w:tc>
          <w:tcPr>
            <w:tcW w:type="dxa" w:w="5314"/>
          </w:tcPr>
          <w:p>
            <w:pPr>
              <w:spacing w:before="0" w:after="0"/>
            </w:pPr>
            <w:r>
              <w:rPr>
                <w:sz w:val="14"/>
              </w:rPr>
              <w:t>PASS</w:t>
            </w:r>
          </w:p>
        </w:tc>
      </w:tr>
      <w:tr>
        <w:tc>
          <w:tcPr>
            <w:tcW w:type="dxa" w:w="5314"/>
          </w:tcPr>
          <w:p>
            <w:pPr>
              <w:spacing w:before="0" w:after="0"/>
            </w:pPr>
            <w:r>
              <w:rPr>
                <w:sz w:val="14"/>
              </w:rPr>
              <w:t>Aggregate fingerprint</w:t>
            </w:r>
          </w:p>
        </w:tc>
        <w:tc>
          <w:tcPr>
            <w:tcW w:type="dxa" w:w="5314"/>
          </w:tcPr>
          <w:p>
            <w:pPr>
              <w:spacing w:before="0" w:after="0"/>
            </w:pPr>
            <w:r>
              <w:rPr>
                <w:sz w:val="14"/>
              </w:rPr>
              <w:t>PASS</w:t>
            </w:r>
          </w:p>
        </w:tc>
      </w:tr>
      <w:tr>
        <w:tc>
          <w:tcPr>
            <w:tcW w:type="dxa" w:w="5314"/>
          </w:tcPr>
          <w:p>
            <w:pPr>
              <w:spacing w:before="0" w:after="0"/>
            </w:pPr>
            <w:r>
              <w:rPr>
                <w:sz w:val="14"/>
              </w:rPr>
              <w:t>Read-only mount check</w:t>
            </w:r>
          </w:p>
        </w:tc>
        <w:tc>
          <w:tcPr>
            <w:tcW w:type="dxa" w:w="5314"/>
          </w:tcPr>
          <w:p>
            <w:pPr>
              <w:spacing w:before="0" w:after="0"/>
            </w:pPr>
            <w:r>
              <w:rPr>
                <w:sz w:val="14"/>
              </w:rPr>
              <w:t>PASS</w:t>
            </w:r>
          </w:p>
        </w:tc>
      </w:tr>
      <w:tr>
        <w:tc>
          <w:tcPr>
            <w:tcW w:type="dxa" w:w="5314"/>
          </w:tcPr>
          <w:p>
            <w:pPr>
              <w:spacing w:before="0" w:after="0"/>
            </w:pPr>
            <w:r>
              <w:rPr>
                <w:sz w:val="14"/>
              </w:rPr>
              <w:t>Schema/layout/row-group inspection</w:t>
            </w:r>
          </w:p>
        </w:tc>
        <w:tc>
          <w:tcPr>
            <w:tcW w:type="dxa" w:w="5314"/>
          </w:tcPr>
          <w:p>
            <w:pPr>
              <w:spacing w:before="0" w:after="0"/>
            </w:pPr>
            <w:r>
              <w:rPr>
                <w:sz w:val="14"/>
              </w:rPr>
              <w:t>PASS</w:t>
            </w:r>
          </w:p>
        </w:tc>
      </w:tr>
      <w:tr>
        <w:tc>
          <w:tcPr>
            <w:tcW w:type="dxa" w:w="5314"/>
          </w:tcPr>
          <w:p>
            <w:pPr>
              <w:spacing w:before="0" w:after="0"/>
            </w:pPr>
            <w:r>
              <w:rPr>
                <w:sz w:val="14"/>
              </w:rPr>
              <w:t>Projectable-signal count established</w:t>
            </w:r>
          </w:p>
        </w:tc>
        <w:tc>
          <w:tcPr>
            <w:tcW w:type="dxa" w:w="5314"/>
          </w:tcPr>
          <w:p>
            <w:pPr>
              <w:spacing w:before="0" w:after="0"/>
            </w:pPr>
            <w:r>
              <w:rPr>
                <w:sz w:val="14"/>
              </w:rPr>
              <w:t>PASS</w:t>
            </w:r>
          </w:p>
        </w:tc>
      </w:tr>
      <w:tr>
        <w:tc>
          <w:tcPr>
            <w:tcW w:type="dxa" w:w="5314"/>
          </w:tcPr>
          <w:p>
            <w:pPr>
              <w:spacing w:before="0" w:after="0"/>
            </w:pPr>
            <w:r>
              <w:rPr>
                <w:sz w:val="14"/>
              </w:rPr>
              <w:t>Representativeness report</w:t>
            </w:r>
          </w:p>
        </w:tc>
        <w:tc>
          <w:tcPr>
            <w:tcW w:type="dxa" w:w="5314"/>
          </w:tcPr>
          <w:p>
            <w:pPr>
              <w:spacing w:before="0" w:after="0"/>
            </w:pPr>
            <w:r>
              <w:rPr>
                <w:sz w:val="14"/>
              </w:rPr>
              <w:t>PASS or Not Required for exact copy</w:t>
            </w:r>
          </w:p>
        </w:tc>
      </w:tr>
    </w:tbl>
    <w:p>
      <w:pPr>
        <w:spacing w:before="0" w:after="20"/>
      </w:pPr>
      <w:r>
        <w:t>Only after this dataset gate is accepted may the Real Volume v2 harness be implemented. The subsequent harness delta is limited to physical source binding, read-only input mount, same-container prewarm and cgroup page-cache/I/O telemetry.</w:t>
      </w:r>
    </w:p>
    <w:p>
      <w:pPr>
        <w:pStyle w:val="Heading1"/>
        <w:spacing w:before="0" w:after="20"/>
      </w:pPr>
      <w:r>
        <w:t>11. Templates delivered</w:t>
      </w:r>
    </w:p>
    <w:p>
      <w:pPr>
        <w:spacing w:before="0" w:after="20"/>
      </w:pPr>
      <w:r>
        <w:t>f007-dataset-manifest.template.json defines the frozen input identity and physical metadata. f007-representativeness.template.json defines the comparison required when the operational capture is sanitized.</w:t>
      </w:r>
    </w:p>
    <w:sectPr w:rsidR="00FC693F" w:rsidRPr="0006063C" w:rsidSect="00034616">
      <w:pgSz w:w="12240" w:h="15840"/>
      <w:pgMar w:top="605" w:right="806" w:bottom="605" w:left="80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