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2"/>
        <w:jc w:val="center"/>
      </w:pPr>
      <w:r>
        <w:t>Atlanticus R3.5F — F-007</w:t>
        <w:br/>
        <w:t>Docker Constrained Alarm Saturation Contract</w:t>
      </w:r>
    </w:p>
    <w:p>
      <w:pPr>
        <w:spacing w:before="0" w:after="22"/>
        <w:jc w:val="center"/>
      </w:pPr>
      <w:r>
        <w:rPr>
          <w:b/>
        </w:rPr>
        <w:t>Adaptive Azure-equivalent capacity-knee contract v1.0.0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CONTRACT READY / AWAITING ACCEPTANCE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Test ID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F-007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Execution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Docker / Local FS volume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Primary variable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Alarm count under constrained CPU/RAM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Data profile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Shared Latest / 1 logical view / 1 physical partition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Control-plane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Configuration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Stable PERF-AC-1 / PERF-TR-1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Stage duration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300 s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Iteration / refresh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5 s / 10 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Expected iterations / stage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61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Expected WAL / stage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2 records</w:t>
            </w:r>
          </w:p>
        </w:tc>
      </w:tr>
    </w:tbl>
    <w:p>
      <w:pPr>
        <w:pStyle w:val="Heading1"/>
        <w:spacing w:before="0" w:after="22"/>
      </w:pPr>
      <w:r>
        <w:t>1. Purpose</w:t>
      </w:r>
    </w:p>
    <w:p>
      <w:pPr>
        <w:spacing w:before="0" w:after="22"/>
      </w:pPr>
      <w:r>
        <w:t>F-007 replaces the original unrestricted alarm-saturation placeholder with a Docker-constrained capacity test. Its purpose is to identify the practical alarm-count knee and determine an Azure-equivalent minimum viable and recommended CPU/RAM envelope. F-001 and F-002 already establish unrestricted host temporal stability; F-007 therefore isolates resource limits rather than re-testing time.</w:t>
      </w:r>
    </w:p>
    <w:p>
      <w:pPr>
        <w:pStyle w:val="Heading1"/>
        <w:spacing w:before="0" w:after="22"/>
      </w:pPr>
      <w:r>
        <w:t>2. Azure-equivalent envelope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Envelope</w:t>
            </w:r>
          </w:p>
        </w:tc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Docker / Azure-equivalent limit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E2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1.0 vCPU / 2 GiB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E3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1.5 vCPU / 3 GiB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E4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2.0 vCPU / 4 GiB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E5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2.5 vCPU / 5 GiB — optional headroom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E6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3.0 vCPU / 6 GiB — optional headroom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E7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3.5 vCPU / 7 GiB — ceiling only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E8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4.0 vCPU / 8 GiB — ceiling only</w:t>
            </w:r>
          </w:p>
        </w:tc>
      </w:tr>
    </w:tbl>
    <w:p>
      <w:pPr>
        <w:spacing w:before="0" w:after="22"/>
      </w:pPr>
      <w:r>
        <w:t>The campaign is adaptive: these envelopes are not executed exhaustively. E2/E3/E4 are the primary sizing points. E5 and optionally E6 are used only when 4 GiB tolerates the large stress with margin or when a higher envelope helps differentiate resource saturation from an application-level throughput ceiling. E7/E8 are reserved for an unclear boundary or explicit future need.</w:t>
      </w:r>
    </w:p>
    <w:p>
      <w:pPr>
        <w:pStyle w:val="Heading1"/>
        <w:spacing w:before="0" w:after="22"/>
      </w:pPr>
      <w:r>
        <w:t>3. Per-stage workload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Dimension</w:t>
            </w:r>
          </w:p>
        </w:tc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Contract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Duration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300 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Iteration period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5 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Data refresh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10 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Data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Shared Latest, one logical view, one physical partition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Historical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Operational churn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0%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Management / Decisions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Adoption / fault injection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Priority groups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1 default group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Initial active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100%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Natural shutdown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Deadline + successful drain</w:t>
            </w:r>
          </w:p>
        </w:tc>
      </w:tr>
    </w:tbl>
    <w:p>
      <w:pPr>
        <w:spacing w:before="0" w:after="22"/>
      </w:pPr>
      <w:r>
        <w:t>Alarm count is static within each process execution. Scaling is performed between independent clean Docker stages so each measurement has one unambiguous alarm_count and resource envelope.</w:t>
      </w:r>
    </w:p>
    <w:p>
      <w:pPr>
        <w:pStyle w:val="Heading1"/>
        <w:spacing w:before="0" w:after="22"/>
      </w:pPr>
      <w:r>
        <w:t>4. Exact per-stage integrity and durability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Gate</w:t>
            </w:r>
          </w:p>
        </w:tc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Expected result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Iterations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61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Durable records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2 exact: bootstrap + +300 evidence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Final snapshot count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Snapshot alarms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Exactly requested alarm_count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Duplicate commit IDs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Commit-chain mismatches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Durable/materialized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Aligned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Natural drain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/>
              <w:t>Resource contract</w:t>
            </w:r>
          </w:p>
        </w:tc>
        <w:tc>
          <w:tcPr>
            <w:tcW w:type="dxa" w:w="5285"/>
          </w:tcPr>
          <w:p>
            <w:r>
              <w:rPr/>
              <w:t>Reported cgroup limits exactly match the requested envelope</w:t>
            </w:r>
          </w:p>
        </w:tc>
      </w:tr>
    </w:tbl>
    <w:p>
      <w:pPr>
        <w:spacing w:before="0" w:after="22"/>
      </w:pPr>
      <w:r>
        <w:t>A resource-limit mismatch invalidates the stage because the result would not represent the intended Azure-equivalent envelope.</w:t>
      </w:r>
    </w:p>
    <w:p>
      <w:pPr>
        <w:pStyle w:val="Heading1"/>
        <w:spacing w:before="0" w:after="22"/>
      </w:pPr>
      <w:r>
        <w:t>5. Capacity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Classification</w:t>
            </w:r>
          </w:p>
        </w:tc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Rule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GREEN-MARGIN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Integrity clean; p95 iteration &lt; 3750 ms; p99 &lt; 5000 ms; 0 overruns; p95 start interval &lt;= 5250 ms; container memory peak &lt; 80%.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BOUNDARY / REVIEW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p95 3750..&lt;5000 ms, or p99 &gt;=5000 ms, or isolated overruns with ratio &lt;5%, or container memory peak 80..&lt;95%, or start-interval p95 &gt;5250 ms without hard saturation.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SATURATED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p95 &gt;=5000 ms, or overrun ratio &gt;=5%, or memory peak &gt;=95%, or OOM/exit 137, or inability to complete 61 iterations, or sustained cadence loss.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PRODUCT FAIL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Integrity corruption, duplicate/chain error, durable/materialized mismatch, or drain failure not attributable to explicit resource exhaustion.</w:t>
            </w:r>
          </w:p>
        </w:tc>
      </w:tr>
    </w:tbl>
    <w:p>
      <w:pPr>
        <w:spacing w:before="0" w:after="22"/>
      </w:pPr>
      <w:r>
        <w:t>High CPU utilization alone is not a failure. CPU is expected to approach the assigned limit during stress; cadence and integrity determine whether that utilization is acceptable.</w:t>
      </w:r>
    </w:p>
    <w:p>
      <w:pPr>
        <w:pStyle w:val="Heading1"/>
        <w:spacing w:before="0" w:after="22"/>
      </w:pPr>
      <w:r>
        <w:t>6. Adaptive execution plan</w:t>
      </w:r>
    </w:p>
    <w:p>
      <w:pPr>
        <w:spacing w:before="0" w:after="22"/>
      </w:pPr>
      <w:r>
        <w:t>Phase A — Minimum target-volume viability. Run E2 (1.0 CPU / 2 GiB) at 1000 alarms for five minutes. If E2 cannot complete cleanly, repeat the same 1000-alarm stage on E3 and then E4 until a viable baseline exists. Do not begin larger alarm-count stress before this baseline is established.</w:t>
      </w:r>
    </w:p>
    <w:p>
      <w:pPr>
        <w:spacing w:before="0" w:after="22"/>
      </w:pPr>
      <w:r>
        <w:t>Phase B — Main capacity discovery on E4 (2.0 CPU / 4 GiB). Run the coarse ladder 2000 → 4000 → 6000 → 8000 alarms, stopping at the first BOUNDARY or SATURATED result. Execute exactly one refinement between the last GREEN-MARGIN and the first non-GREEN point: normally the midpoint (+1000). If 2000 alarms is already non-GREEN, back off once to 1500. If 8000 remains GREEN-MARGIN, record the knee as greater than 8000 rather than extending the ladder automatically.</w:t>
      </w:r>
    </w:p>
    <w:p>
      <w:pPr>
        <w:spacing w:before="0" w:after="22"/>
      </w:pPr>
      <w:r>
        <w:t>Phase C — Envelope characterization at the stress-reference load. The reference load is the highest GREEN-MARGIN alarm count found on E4. Execute that same load on E2 and E3 if not already observed; reuse the E4 result from Phase B. If E4 tolerates the large stress with clear margin, add E5 and optionally E6 as conceptual headroom points. E7/E8 remain optional ceiling tests.</w:t>
      </w:r>
    </w:p>
    <w:p>
      <w:pPr>
        <w:pStyle w:val="Heading1"/>
        <w:spacing w:before="0" w:after="22"/>
      </w:pPr>
      <w:r>
        <w:t>7. Decision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Output</w:t>
            </w:r>
          </w:p>
        </w:tc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Definition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Capacity knee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Transition between last GREEN-MARGIN and first BOUNDARY/SATURATED alarm count at a fixed envelope.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Stress-reference load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Highest GREEN-MARGIN alarm count on E4.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Minimum viable envelope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Lowest envelope at stress-reference load that is not SATURATED and preserves integrity.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Recommended envelope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Lowest envelope at stress-reference load that is GREEN-MARGIN.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Headroom point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Optional larger envelope used only to demonstrate useful scaling margin.</w:t>
            </w:r>
          </w:p>
        </w:tc>
      </w:tr>
    </w:tbl>
    <w:p>
      <w:pPr>
        <w:spacing w:before="0" w:after="22"/>
      </w:pPr>
      <w:r>
        <w:t>A SATURATED stage is expected capacity evidence and does not automatically open a product finding. Product findings are reserved for correctness or durability failures.</w:t>
      </w:r>
    </w:p>
    <w:p>
      <w:pPr>
        <w:pStyle w:val="Heading1"/>
        <w:spacing w:before="0" w:after="22"/>
      </w:pPr>
      <w:r>
        <w:t>8. Existing telemetry and implementation boundary</w:t>
      </w:r>
    </w:p>
    <w:p>
      <w:pPr>
        <w:spacing w:before="0" w:after="22"/>
      </w:pPr>
      <w:r>
        <w:t>No product instrumentation is expected. Existing execution logs already expose cpu_limit_cores, memory_limit_bytes, cpu_peak_percent, memory_peak_percent, status, stop_reason, work_iterations and durability counters. Existing result.json and samples.jsonl expose latency, RSS, overrun, cadence and integrity. After contract acceptance, the expected implementation scope is limited to the performance harness: Docker stage launcher/orchestrator, resource-contract validation, stage adjudication/summary, tests and commented mirror. Product/Core/Persistence/Job Runtime contracts remain unchanged.</w:t>
      </w:r>
    </w:p>
    <w:p>
      <w:pPr>
        <w:pStyle w:val="Heading1"/>
        <w:spacing w:before="0" w:after="22"/>
      </w:pPr>
      <w:r>
        <w:t>9. Campaign disposition</w:t>
      </w:r>
    </w:p>
    <w:p>
      <w:pPr>
        <w:spacing w:before="0" w:after="22"/>
      </w:pPr>
      <w:r>
        <w:t>F-006 is superseded for R3.5 closure by prior R3.5B dataset-memory evidence plus F-007 resource-constrained stress. F-008 and F-009 are deferred. F-010 is reserved as Final Docker Qualification and will be frozen only after F-007 selects the recommended envelope. The final qualification will combine the most realistic supported workload instead of continuing isolated saturation tests.</w:t>
      </w:r>
    </w:p>
    <w:sectPr w:rsidR="00FC693F" w:rsidRPr="0006063C" w:rsidSect="00034616">
      <w:pgSz w:w="12240" w:h="15840"/>
      <w:pgMar w:top="634" w:right="835" w:bottom="63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