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2"/>
        <w:jc w:val="center"/>
      </w:pPr>
      <w:r>
        <w:t>Atlanticus R3.5F — F-007</w:t>
        <w:br/>
        <w:t>Docker Stress Harness Ready Checkpoint</w:t>
      </w:r>
    </w:p>
    <w:p>
      <w:pPr>
        <w:spacing w:before="0" w:after="22"/>
        <w:jc w:val="center"/>
      </w:pPr>
      <w:r>
        <w:rPr>
          <w:b/>
        </w:rPr>
        <w:t>Docker constrained alarm saturation · Harness 0.1.0 · 30 August 2026</w:t>
      </w:r>
    </w:p>
    <w:tbl>
      <w:tblPr>
        <w:tblStyle w:val="TableGrid"/>
        <w:tblW w:type="auto" w:w="0"/>
        <w:jc w:val="center"/>
        <w:tblLook w:firstColumn="1" w:firstRow="1" w:lastColumn="0" w:lastRow="0" w:noHBand="0" w:noVBand="1" w:val="04A0"/>
      </w:tblPr>
      <w:tblGrid>
        <w:gridCol w:w="5285"/>
        <w:gridCol w:w="5285"/>
      </w:tblGrid>
      <w:tr>
        <w:tc>
          <w:tcPr>
            <w:tcW w:type="dxa" w:w="5285"/>
            <w:shd w:fill="F2F2F2"/>
          </w:tcPr>
          <w:p>
            <w:pPr>
              <w:spacing w:before="0" w:after="0"/>
            </w:pPr>
            <w:r>
              <w:rPr>
                <w:sz w:val="15"/>
              </w:rPr>
              <w:t>Status</w:t>
            </w:r>
          </w:p>
        </w:tc>
        <w:tc>
          <w:tcPr>
            <w:tcW w:type="dxa" w:w="5285"/>
            <w:shd w:fill="F2F2F2"/>
          </w:tcPr>
          <w:p>
            <w:pPr>
              <w:spacing w:before="0" w:after="0"/>
            </w:pPr>
            <w:r>
              <w:rPr>
                <w:sz w:val="15"/>
              </w:rPr>
              <w:t>HARNESS READY — workload blocked pending gate</w:t>
            </w:r>
          </w:p>
        </w:tc>
      </w:tr>
      <w:tr>
        <w:tc>
          <w:tcPr>
            <w:tcW w:type="dxa" w:w="5285"/>
          </w:tcPr>
          <w:p>
            <w:pPr>
              <w:spacing w:before="0" w:after="0"/>
            </w:pPr>
            <w:r>
              <w:rPr>
                <w:sz w:val="15"/>
              </w:rPr>
              <w:t>Contract</w:t>
            </w:r>
          </w:p>
        </w:tc>
        <w:tc>
          <w:tcPr>
            <w:tcW w:type="dxa" w:w="5285"/>
          </w:tcPr>
          <w:p>
            <w:pPr>
              <w:spacing w:before="0" w:after="0"/>
            </w:pPr>
            <w:r>
              <w:rPr>
                <w:sz w:val="15"/>
              </w:rPr>
              <w:t>F-007 accepted</w:t>
            </w:r>
          </w:p>
        </w:tc>
      </w:tr>
      <w:tr>
        <w:tc>
          <w:tcPr>
            <w:tcW w:type="dxa" w:w="5285"/>
            <w:shd w:fill="F2F2F2"/>
          </w:tcPr>
          <w:p>
            <w:pPr>
              <w:spacing w:before="0" w:after="0"/>
            </w:pPr>
            <w:r>
              <w:rPr>
                <w:sz w:val="15"/>
              </w:rPr>
              <w:t>Harness</w:t>
            </w:r>
          </w:p>
        </w:tc>
        <w:tc>
          <w:tcPr>
            <w:tcW w:type="dxa" w:w="5285"/>
            <w:shd w:fill="F2F2F2"/>
          </w:tcPr>
          <w:p>
            <w:pPr>
              <w:spacing w:before="0" w:after="0"/>
            </w:pPr>
            <w:r>
              <w:rPr>
                <w:sz w:val="15"/>
              </w:rPr>
              <w:t>0.1.0</w:t>
            </w:r>
          </w:p>
        </w:tc>
      </w:tr>
      <w:tr>
        <w:tc>
          <w:tcPr>
            <w:tcW w:type="dxa" w:w="5285"/>
          </w:tcPr>
          <w:p>
            <w:pPr>
              <w:spacing w:before="0" w:after="0"/>
            </w:pPr>
            <w:r>
              <w:rPr>
                <w:sz w:val="15"/>
              </w:rPr>
              <w:t>Changed files</w:t>
            </w:r>
          </w:p>
        </w:tc>
        <w:tc>
          <w:tcPr>
            <w:tcW w:type="dxa" w:w="5285"/>
          </w:tcPr>
          <w:p>
            <w:pPr>
              <w:spacing w:before="0" w:after="0"/>
            </w:pPr>
            <w:r>
              <w:rPr>
                <w:sz w:val="15"/>
              </w:rPr>
              <w:t>5 new files</w:t>
            </w:r>
          </w:p>
        </w:tc>
      </w:tr>
      <w:tr>
        <w:tc>
          <w:tcPr>
            <w:tcW w:type="dxa" w:w="5285"/>
            <w:shd w:fill="F2F2F2"/>
          </w:tcPr>
          <w:p>
            <w:pPr>
              <w:spacing w:before="0" w:after="0"/>
            </w:pPr>
            <w:r>
              <w:rPr>
                <w:sz w:val="15"/>
              </w:rPr>
              <w:t>New regressions</w:t>
            </w:r>
          </w:p>
        </w:tc>
        <w:tc>
          <w:tcPr>
            <w:tcW w:type="dxa" w:w="5285"/>
            <w:shd w:fill="F2F2F2"/>
          </w:tcPr>
          <w:p>
            <w:pPr>
              <w:spacing w:before="0" w:after="0"/>
            </w:pPr>
            <w:r>
              <w:rPr>
                <w:sz w:val="15"/>
              </w:rPr>
              <w:t>12</w:t>
            </w:r>
          </w:p>
        </w:tc>
      </w:tr>
      <w:tr>
        <w:tc>
          <w:tcPr>
            <w:tcW w:type="dxa" w:w="5285"/>
          </w:tcPr>
          <w:p>
            <w:pPr>
              <w:spacing w:before="0" w:after="0"/>
            </w:pPr>
            <w:r>
              <w:rPr>
                <w:sz w:val="15"/>
              </w:rPr>
              <w:t>Expected full suite</w:t>
            </w:r>
          </w:p>
        </w:tc>
        <w:tc>
          <w:tcPr>
            <w:tcW w:type="dxa" w:w="5285"/>
          </w:tcPr>
          <w:p>
            <w:pPr>
              <w:spacing w:before="0" w:after="0"/>
            </w:pPr>
            <w:r>
              <w:rPr>
                <w:sz w:val="15"/>
              </w:rPr>
              <w:t>362 tests</w:t>
            </w:r>
          </w:p>
        </w:tc>
      </w:tr>
      <w:tr>
        <w:tc>
          <w:tcPr>
            <w:tcW w:type="dxa" w:w="5285"/>
            <w:shd w:fill="F2F2F2"/>
          </w:tcPr>
          <w:p>
            <w:pPr>
              <w:spacing w:before="0" w:after="0"/>
            </w:pPr>
            <w:r>
              <w:rPr>
                <w:sz w:val="15"/>
              </w:rPr>
              <w:t>Product changes</w:t>
            </w:r>
          </w:p>
        </w:tc>
        <w:tc>
          <w:tcPr>
            <w:tcW w:type="dxa" w:w="5285"/>
            <w:shd w:fill="F2F2F2"/>
          </w:tcPr>
          <w:p>
            <w:pPr>
              <w:spacing w:before="0" w:after="0"/>
            </w:pPr>
            <w:r>
              <w:rPr>
                <w:sz w:val="15"/>
              </w:rPr>
              <w:t>None</w:t>
            </w:r>
          </w:p>
        </w:tc>
      </w:tr>
      <w:tr>
        <w:tc>
          <w:tcPr>
            <w:tcW w:type="dxa" w:w="5285"/>
          </w:tcPr>
          <w:p>
            <w:pPr>
              <w:spacing w:before="0" w:after="0"/>
            </w:pPr>
            <w:r>
              <w:rPr>
                <w:sz w:val="15"/>
              </w:rPr>
              <w:t>Next authorized action</w:t>
            </w:r>
          </w:p>
        </w:tc>
        <w:tc>
          <w:tcPr>
            <w:tcW w:type="dxa" w:w="5285"/>
          </w:tcPr>
          <w:p>
            <w:pPr>
              <w:spacing w:before="0" w:after="0"/>
            </w:pPr>
            <w:r>
              <w:rPr>
                <w:sz w:val="15"/>
              </w:rPr>
              <w:t>Ruff/format + full pytest only</w:t>
            </w:r>
          </w:p>
        </w:tc>
      </w:tr>
    </w:tbl>
    <w:p>
      <w:pPr>
        <w:pStyle w:val="Heading1"/>
        <w:spacing w:before="0" w:after="22"/>
      </w:pPr>
      <w:r>
        <w:t>Implemented scope</w:t>
      </w:r>
    </w:p>
    <w:p>
      <w:pPr>
        <w:spacing w:before="0" w:after="22"/>
      </w:pPr>
      <w:r>
        <w:t>The delivery adds a harness-only Docker orchestrator, its pedagogical commented mirror, a pinned F-007 Dockerfile, its commented mirror and a dedicated regression module. baseline.py, metrics.py, run.py and all product/runtime packages remain unchanged.</w:t>
      </w:r>
    </w:p>
    <w:p>
      <w:pPr>
        <w:pStyle w:val="Heading1"/>
        <w:spacing w:before="0" w:after="22"/>
      </w:pPr>
      <w:r>
        <w:t>Resource contract</w:t>
      </w:r>
    </w:p>
    <w:p>
      <w:pPr>
        <w:spacing w:before="0" w:after="22"/>
      </w:pPr>
      <w:r>
        <w:t>Each stage runs in a fresh container with explicit --cpus, --memory and --memory-swap values. Before the workload begins, the container samples its own cgroups using the same Atlanticus runtime sampler and emits a machine-readable F007_RESOURCE_PROBE. The host cross-checks this probe with Docker inspect and, when available, the persisted execution.completed resource metrics. A mismatch makes the stage INVALID rather than producing capacity evidence.</w:t>
      </w:r>
    </w:p>
    <w:p>
      <w:pPr>
        <w:pStyle w:val="Heading1"/>
        <w:spacing w:before="0" w:after="22"/>
      </w:pPr>
      <w:r>
        <w:t>Capacity adjudication</w:t>
      </w:r>
    </w:p>
    <w:tbl>
      <w:tblPr>
        <w:tblStyle w:val="TableGrid"/>
        <w:tblW w:type="auto" w:w="0"/>
        <w:tblLook w:firstColumn="1" w:firstRow="1" w:lastColumn="0" w:lastRow="0" w:noHBand="0" w:noVBand="1" w:val="04A0"/>
      </w:tblPr>
      <w:tblGrid>
        <w:gridCol w:w="5285"/>
        <w:gridCol w:w="5285"/>
      </w:tblGrid>
      <w:tr>
        <w:tc>
          <w:tcPr>
            <w:tcW w:type="dxa" w:w="5285"/>
            <w:shd w:fill="D9EAF7"/>
          </w:tcPr>
          <w:p>
            <w:pPr>
              <w:spacing w:before="0" w:after="0"/>
            </w:pPr>
            <w:r>
              <w:rPr>
                <w:b/>
                <w:sz w:val="15"/>
              </w:rPr>
              <w:t>Class</w:t>
            </w:r>
          </w:p>
        </w:tc>
        <w:tc>
          <w:tcPr>
            <w:tcW w:type="dxa" w:w="5285"/>
            <w:shd w:fill="D9EAF7"/>
          </w:tcPr>
          <w:p>
            <w:pPr>
              <w:spacing w:before="0" w:after="0"/>
            </w:pPr>
            <w:r>
              <w:rPr>
                <w:b/>
                <w:sz w:val="15"/>
              </w:rPr>
              <w:t>Meaning</w:t>
            </w:r>
          </w:p>
        </w:tc>
      </w:tr>
      <w:tr>
        <w:tc>
          <w:tcPr>
            <w:tcW w:type="dxa" w:w="5285"/>
          </w:tcPr>
          <w:p>
            <w:pPr>
              <w:spacing w:before="0" w:after="0"/>
            </w:pPr>
            <w:r>
              <w:rPr>
                <w:sz w:val="15"/>
              </w:rPr>
              <w:t>GREEN-MARGIN</w:t>
            </w:r>
          </w:p>
        </w:tc>
        <w:tc>
          <w:tcPr>
            <w:tcW w:type="dxa" w:w="5285"/>
          </w:tcPr>
          <w:p>
            <w:pPr>
              <w:spacing w:before="0" w:after="0"/>
            </w:pPr>
            <w:r>
              <w:rPr>
                <w:sz w:val="15"/>
              </w:rPr>
              <w:t>Healthy cadence and integrity; p95 &lt;3750 ms; p99 &lt;5000 ms; 0 overruns; memory &lt;80%</w:t>
            </w:r>
          </w:p>
        </w:tc>
      </w:tr>
      <w:tr>
        <w:tc>
          <w:tcPr>
            <w:tcW w:type="dxa" w:w="5285"/>
          </w:tcPr>
          <w:p>
            <w:pPr>
              <w:spacing w:before="0" w:after="0"/>
            </w:pPr>
            <w:r>
              <w:rPr>
                <w:sz w:val="15"/>
              </w:rPr>
              <w:t>BOUNDARY/REVIEW</w:t>
            </w:r>
          </w:p>
        </w:tc>
        <w:tc>
          <w:tcPr>
            <w:tcW w:type="dxa" w:w="5285"/>
          </w:tcPr>
          <w:p>
            <w:pPr>
              <w:spacing w:before="0" w:after="0"/>
            </w:pPr>
            <w:r>
              <w:rPr>
                <w:sz w:val="15"/>
              </w:rPr>
              <w:t>Reduced margin without hard saturation</w:t>
            </w:r>
          </w:p>
        </w:tc>
      </w:tr>
      <w:tr>
        <w:tc>
          <w:tcPr>
            <w:tcW w:type="dxa" w:w="5285"/>
          </w:tcPr>
          <w:p>
            <w:pPr>
              <w:spacing w:before="0" w:after="0"/>
            </w:pPr>
            <w:r>
              <w:rPr>
                <w:sz w:val="15"/>
              </w:rPr>
              <w:t>SATURATED</w:t>
            </w:r>
          </w:p>
        </w:tc>
        <w:tc>
          <w:tcPr>
            <w:tcW w:type="dxa" w:w="5285"/>
          </w:tcPr>
          <w:p>
            <w:pPr>
              <w:spacing w:before="0" w:after="0"/>
            </w:pPr>
            <w:r>
              <w:rPr>
                <w:sz w:val="15"/>
              </w:rPr>
              <w:t>p95 &gt;=5000 ms, &gt;=5% overruns, memory &gt;=95%, OOM/137, incomplete stage or sustained cadence loss</w:t>
            </w:r>
          </w:p>
        </w:tc>
      </w:tr>
      <w:tr>
        <w:tc>
          <w:tcPr>
            <w:tcW w:type="dxa" w:w="5285"/>
          </w:tcPr>
          <w:p>
            <w:pPr>
              <w:spacing w:before="0" w:after="0"/>
            </w:pPr>
            <w:r>
              <w:rPr>
                <w:sz w:val="15"/>
              </w:rPr>
              <w:t>PRODUCT FAIL</w:t>
            </w:r>
          </w:p>
        </w:tc>
        <w:tc>
          <w:tcPr>
            <w:tcW w:type="dxa" w:w="5285"/>
          </w:tcPr>
          <w:p>
            <w:pPr>
              <w:spacing w:before="0" w:after="0"/>
            </w:pPr>
            <w:r>
              <w:rPr>
                <w:sz w:val="15"/>
              </w:rPr>
              <w:t>Correctness/durability/drain failure not attributable to the explicit resource envelope</w:t>
            </w:r>
          </w:p>
        </w:tc>
      </w:tr>
      <w:tr>
        <w:tc>
          <w:tcPr>
            <w:tcW w:type="dxa" w:w="5285"/>
          </w:tcPr>
          <w:p>
            <w:pPr>
              <w:spacing w:before="0" w:after="0"/>
            </w:pPr>
            <w:r>
              <w:rPr>
                <w:sz w:val="15"/>
              </w:rPr>
              <w:t>INVALID</w:t>
            </w:r>
          </w:p>
        </w:tc>
        <w:tc>
          <w:tcPr>
            <w:tcW w:type="dxa" w:w="5285"/>
          </w:tcPr>
          <w:p>
            <w:pPr>
              <w:spacing w:before="0" w:after="0"/>
            </w:pPr>
            <w:r>
              <w:rPr>
                <w:sz w:val="15"/>
              </w:rPr>
              <w:t>Requested Docker envelope was not confirmed</w:t>
            </w:r>
          </w:p>
        </w:tc>
      </w:tr>
    </w:tbl>
    <w:p>
      <w:pPr>
        <w:pStyle w:val="Heading1"/>
        <w:spacing w:before="0" w:after="22"/>
      </w:pPr>
      <w:r>
        <w:t>Adaptive phases</w:t>
      </w:r>
    </w:p>
    <w:p>
      <w:pPr>
        <w:spacing w:before="0" w:after="22"/>
      </w:pPr>
      <w:r>
        <w:t>Phase A checks 1000 alarms starting at E2 = 1 CPU / 2 GiB and escalates to E3/E4 only when required. Phase B uses E4 = 2 CPU / 4 GiB and the 2000→4000→6000→8000 coarse ladder, stopping at the first non-GREEN point and running exactly one refinement. Phase C replays the resulting stress-reference load on E2/E3/E4, with 5/6 GiB optional headroom and 7/8 GiB ceiling-only.</w:t>
      </w:r>
    </w:p>
    <w:p>
      <w:pPr>
        <w:pStyle w:val="Heading1"/>
        <w:spacing w:before="0" w:after="22"/>
      </w:pPr>
      <w:r>
        <w:t>Evidence preserved per stage</w:t>
      </w:r>
    </w:p>
    <w:p>
      <w:pPr>
        <w:spacing w:before="0" w:after="22"/>
      </w:pPr>
      <w:r>
        <w:t>The harness preserves result.json, metadata.json, samples.jsonl, Docker console log, Docker inspect evidence and stage-summary.json. It also reconstructs the physical WAL, snapshot count/alarm count, duplicate commit IDs, commit chain and durable/materialized head directly from the mounted work volume.</w:t>
      </w:r>
    </w:p>
    <w:p>
      <w:pPr>
        <w:pStyle w:val="Heading1"/>
        <w:spacing w:before="0" w:after="22"/>
      </w:pPr>
      <w:r>
        <w:t>Build-context security</w:t>
      </w:r>
    </w:p>
    <w:p>
      <w:pPr>
        <w:spacing w:before="0" w:after="22"/>
      </w:pPr>
      <w:r>
        <w:t>The Docker image is built from a temporary sanitized repository copy. Local environments, runtime directories, caches, artifacts/distribution outputs, .env files and secrets.json/secrets.detail.json are excluded before the build context is sent to Docker. Python is pinned to 3.14.2 and UV to 0.10.0; pip is not used.</w:t>
      </w:r>
    </w:p>
    <w:p>
      <w:pPr>
        <w:pStyle w:val="Heading1"/>
        <w:spacing w:before="0" w:after="22"/>
      </w:pPr>
      <w:r>
        <w:t>Static QA and authoritative gate</w:t>
      </w:r>
    </w:p>
    <w:p>
      <w:pPr>
        <w:spacing w:before="0" w:after="22"/>
      </w:pPr>
      <w:r>
        <w:t>Static QA passed: exact five-file scope, Python production/commented token and AST equivalence, Dockerfile mirror equivalence, Python compilation and 12/12 new unit regressions in the delivery sandbox. A real Docker daemon and the authoritative Python 3.14.2 repository environment are not available in the delivery sandbox, so GLONBW11 remains the hard integration gate. The complete expected suite is 362 tests.</w:t>
      </w:r>
    </w:p>
    <w:p>
      <w:pPr>
        <w:pStyle w:val="Heading1"/>
        <w:spacing w:before="0" w:after="22"/>
      </w:pPr>
      <w:r>
        <w:t>Next action</w:t>
      </w:r>
    </w:p>
    <w:p>
      <w:pPr>
        <w:spacing w:before="0" w:after="22"/>
      </w:pPr>
      <w:r>
        <w:t>Apply the harness on GLONBW11 and run Ruff fix/format, global Ruff/format checks and full pytest. Do not build the F-007 image or execute Phase A until the gate is 362/362 GREEN.</w:t>
      </w:r>
    </w:p>
    <w:sectPr w:rsidR="00FC693F" w:rsidRPr="0006063C" w:rsidSect="00034616">
      <w:pgSz w:w="12240" w:h="15840"/>
      <w:pgMar w:top="634" w:right="835" w:bottom="634"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