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before="0" w:after="20"/>
        <w:jc w:val="center"/>
      </w:pPr>
      <w:r>
        <w:t>Atlanticus R3.5F — F-007</w:t>
        <w:br/>
        <w:t>Real Volume v2 Contract</w:t>
      </w:r>
    </w:p>
    <w:p>
      <w:pPr>
        <w:spacing w:before="0" w:after="20"/>
        <w:jc w:val="center"/>
      </w:pPr>
      <w:r>
        <w:rPr>
          <w:b/>
        </w:rPr>
        <w:t>Docker constrained capacity with physical Parquet input · Contract v1.0.0 · 30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Status</w:t>
            </w:r>
          </w:p>
        </w:tc>
        <w:tc>
          <w:tcPr>
            <w:tcW w:type="dxa" w:w="5314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CONTRACT READY / PHASE B BLOCKED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Test ID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F-007</w:t>
            </w:r>
          </w:p>
        </w:tc>
      </w:tr>
      <w:tr>
        <w:tc>
          <w:tcPr>
            <w:tcW w:type="dxa" w:w="5314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Synthetic control</w:t>
            </w:r>
          </w:p>
        </w:tc>
        <w:tc>
          <w:tcPr>
            <w:tcW w:type="dxa" w:w="5314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Retained, not authoritative for capacity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Input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Physical Parquet dataset mounted read-only</w:t>
            </w:r>
          </w:p>
        </w:tc>
      </w:tr>
      <w:tr>
        <w:tc>
          <w:tcPr>
            <w:tcW w:type="dxa" w:w="5314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Runtime data path</w:t>
            </w:r>
          </w:p>
        </w:tc>
        <w:tc>
          <w:tcPr>
            <w:tcW w:type="dxa" w:w="5314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AlarmIterationLoader -&gt; ada.data.sources -&gt; DatasetRuntime -&gt; ParquetDatasetStore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Measured interval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300 s / 61 iterations / 5 s cadence</w:t>
            </w:r>
          </w:p>
        </w:tc>
      </w:tr>
      <w:tr>
        <w:tc>
          <w:tcPr>
            <w:tcW w:type="dxa" w:w="5314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Primary envelopes</w:t>
            </w:r>
          </w:p>
        </w:tc>
        <w:tc>
          <w:tcPr>
            <w:tcW w:type="dxa" w:w="5314"/>
            <w:shd w:fill="F2F2F2"/>
          </w:tcPr>
          <w:p>
            <w:pPr>
              <w:spacing w:before="0" w:after="0"/>
            </w:pPr>
            <w:r>
              <w:rPr>
                <w:sz w:val="14"/>
              </w:rPr>
              <w:t>E2=1 CPU/2 GiB, E3=1.5/3 GiB, E4=2/4 GiB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Product changes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None expected</w:t>
            </w:r>
          </w:p>
        </w:tc>
      </w:tr>
    </w:tbl>
    <w:p>
      <w:pPr>
        <w:pStyle w:val="Heading1"/>
        <w:spacing w:before="0" w:after="20"/>
      </w:pPr>
      <w:r>
        <w:t>1. Why F-007 is revised</w:t>
      </w:r>
    </w:p>
    <w:p>
      <w:pPr>
        <w:spacing w:before="0" w:after="20"/>
      </w:pPr>
      <w:r>
        <w:t>The successful Harness 0.1.2 retry proves Docker resource enforcement and the alarm engine under E2, but its source was a minimal in-memory Shared Latest frame: one view, one column, one row, one numeric value and 140 bytes. That run therefore excludes the physical read path, Parquet scan/projection/materialization, filesystem I/O and meaningful page-cache pressure. It remains useful only as a Synthetic Engine Control and cannot define production CPU/RAM sizing.</w:t>
      </w:r>
    </w:p>
    <w:p>
      <w:pPr>
        <w:pStyle w:val="Heading1"/>
        <w:spacing w:before="0" w:after="20"/>
      </w:pPr>
      <w:r>
        <w:t>2. Physical-source boundary</w:t>
      </w:r>
    </w:p>
    <w:p>
      <w:pPr>
        <w:spacing w:before="0" w:after="20"/>
      </w:pPr>
      <w:r>
        <w:t>Authoritative F-007 v2 stages must consume a frozen physical dataset mounted read-only at /f007/input. Alarm Runtime must continue to request data through the existing application contract. Neither Alarm Runtime nor performance/docker_stress.py may open Parquet or construct a replacement DataFrame directly.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Layer</w:t>
            </w:r>
          </w:p>
        </w:tc>
        <w:tc>
          <w:tcPr>
            <w:tcW w:type="dxa" w:w="53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Responsibility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Alarm Runtime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Declares/loads requirements each iteration; no inter-iteration LoadedDataSources cache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ada.data.sources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Routes named source requirements to the configured physical data source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DatasetRuntime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Resolves dataset access and projection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ParquetDatasetStore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Reads the physical Parquet files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Linux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Automatically manages page cache and filesystem I/O</w:t>
            </w:r>
          </w:p>
        </w:tc>
      </w:tr>
    </w:tbl>
    <w:p>
      <w:pPr>
        <w:pStyle w:val="Heading1"/>
        <w:spacing w:before="0" w:after="20"/>
      </w:pPr>
      <w:r>
        <w:t>3. Accepted dataset origin</w:t>
      </w:r>
    </w:p>
    <w:p>
      <w:pPr>
        <w:spacing w:before="0" w:after="20"/>
      </w:pPr>
      <w:r>
        <w:t>An operational capture is the preferred input. If raw operational values cannot be used, a sanitized operational-shape fixture is acceptable only when its physical structure is derived from a representative capture and it is created before the measured run. The measured container must never generate, rewrite or mutate the capacity dataset.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Accepted</w:t>
            </w:r>
          </w:p>
        </w:tc>
        <w:tc>
          <w:tcPr>
            <w:tcW w:type="dxa" w:w="53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Rule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Operational capture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Preferred; preserve representative physical layout while respecting data-handling constraints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Sanitized operational-shape fixture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Acceptable if file/schema/row-group/compression/partition characteristics are derived from a representative capture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Pure in-memory synthetic source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Not accepted for authoritative F-007 capacity</w:t>
            </w:r>
          </w:p>
        </w:tc>
      </w:tr>
    </w:tbl>
    <w:p>
      <w:pPr>
        <w:pStyle w:val="Heading1"/>
        <w:spacing w:before="0" w:after="20"/>
      </w:pPr>
      <w:r>
        <w:t>4. Frozen dataset manifest</w:t>
      </w:r>
    </w:p>
    <w:p>
      <w:pPr>
        <w:spacing w:before="0" w:after="20"/>
      </w:pPr>
      <w:r>
        <w:t>Before any capacity stage, the campaign must freeze one dataset manifest. Every envelope must consume the same dataset bytes and schema; only the projected requirements may change with alarm_count.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Manifest field</w:t>
            </w:r>
          </w:p>
        </w:tc>
        <w:tc>
          <w:tcPr>
            <w:tcW w:type="dxa" w:w="53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Required evidence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dataset_id / schema version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Stable campaign identity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origin class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Operational capture or operational-shape fixture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file list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Mount-relative paths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hashes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Per-file SHA-256 plus aggregate dataset SHA-256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size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file_count and total_bytes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shape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row_count and physical/projectable columns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Parquet layout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row-group count, compression, schema and partition layout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mount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/f007/input mounted read-only</w:t>
            </w:r>
          </w:p>
        </w:tc>
      </w:tr>
    </w:tbl>
    <w:p>
      <w:pPr>
        <w:pStyle w:val="Heading1"/>
        <w:spacing w:before="0" w:after="20"/>
      </w:pPr>
      <w:r>
        <w:t>5. Projection scaling</w:t>
      </w:r>
    </w:p>
    <w:p>
      <w:pPr>
        <w:spacing w:before="0" w:after="20"/>
      </w:pPr>
      <w:r>
        <w:t>Alarm count remains the main stress variable. The physical dataset is fixed while DataRequirement/projection pushdown selects the signals needed for each stage. This keeps the input artifact comparable across E2/E3/E4 and ensures source-load cost grows through the same DatasetRuntime path rather than by changing the test fixture itself.</w:t>
      </w:r>
    </w:p>
    <w:p>
      <w:pPr>
        <w:pStyle w:val="Heading1"/>
        <w:spacing w:before="0" w:after="20"/>
      </w:pPr>
      <w:r>
        <w:t>6. Page-cache treatment</w:t>
      </w:r>
    </w:p>
    <w:p>
      <w:pPr>
        <w:spacing w:before="0" w:after="20"/>
      </w:pPr>
      <w:r>
        <w:t>Linux page cache remains enabled and is considered part of real steady-state operation. The campaign will not call drop_caches during normal capacity stages. To make stages comparable, each container performs a harness-only prewarm against the same physical source before the measured 300-second interval. Prewarm occurs in the same container/cgroup so file-backed memory remains visible to the resource envelope. The first prewarm access may be retained as cold-ish diagnostic evidence but does not adjudicate capacity.</w:t>
      </w:r>
    </w:p>
    <w:p>
      <w:pPr>
        <w:pStyle w:val="Heading1"/>
        <w:spacing w:before="0" w:after="20"/>
      </w:pPr>
      <w:r>
        <w:t>7. Physical I/O and memory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Telemetry</w:t>
            </w:r>
          </w:p>
        </w:tc>
        <w:tc>
          <w:tcPr>
            <w:tcW w:type="dxa" w:w="53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Purpose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source_load p50/p95/p99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Cost of the real source load path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memory.current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Total cgroup memory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memory.stat anon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Anonymous/application memory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memory.stat file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File-backed memory/page cache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memory.stat active_file/inactive_file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File-cache activity state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io.stat read bytes / read ops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Physical I/O deltas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CPU usage / throttling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Resource saturation and cgroup pressure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iteration/cadence/overruns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End-to-end service capacity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RSS + durability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Process memory and hard correctness gates</w:t>
            </w:r>
          </w:p>
        </w:tc>
      </w:tr>
    </w:tbl>
    <w:p>
      <w:pPr>
        <w:pStyle w:val="Heading1"/>
        <w:spacing w:before="0" w:after="20"/>
      </w:pPr>
      <w:r>
        <w:t>8. Per-stage hard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14"/>
        <w:gridCol w:w="5314"/>
      </w:tblGrid>
      <w:tr>
        <w:tc>
          <w:tcPr>
            <w:tcW w:type="dxa" w:w="53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Gate</w:t>
            </w:r>
          </w:p>
        </w:tc>
        <w:tc>
          <w:tcPr>
            <w:tcW w:type="dxa" w:w="5314"/>
            <w:shd w:fill="D9EAF7"/>
          </w:tcPr>
          <w:p>
            <w:pPr>
              <w:spacing w:before="0" w:after="0"/>
            </w:pPr>
            <w:r>
              <w:rPr>
                <w:b/>
                <w:sz w:val="14"/>
              </w:rPr>
              <w:t>Expected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Resource contract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Requested CPU/RAM confirmed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Dataset contract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Read-only mount + manifest/hash exact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Measured iterations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61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WAL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2 exact: bootstrap + +300 evidence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Final snapshot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1 snapshot; alarm count exact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Duplicate commit IDs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0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Commit-chain mismatches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0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Durable/materialized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Aligned</w:t>
            </w:r>
          </w:p>
        </w:tc>
      </w:tr>
      <w:tr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Natural drain</w:t>
            </w:r>
          </w:p>
        </w:tc>
        <w:tc>
          <w:tcPr>
            <w:tcW w:type="dxa" w:w="5314"/>
          </w:tcPr>
          <w:p>
            <w:pPr>
              <w:spacing w:before="0" w:after="0"/>
            </w:pPr>
            <w:r>
              <w:rPr>
                <w:sz w:val="14"/>
              </w:rPr>
              <w:t>Success</w:t>
            </w:r>
          </w:p>
        </w:tc>
      </w:tr>
    </w:tbl>
    <w:p>
      <w:pPr>
        <w:spacing w:before="0" w:after="20"/>
      </w:pPr>
      <w:r>
        <w:t>GREEN-MARGIN remains p95 iteration &lt;3750 ms, p99 &lt;5000 ms, zero overruns, p95 start interval &lt;=5250 ms, memory peak &lt;80% and clean integrity. BOUNDARY/REVIEW captures reduced margin. SATURATED includes p95 &gt;=5000 ms, overrun ratio &gt;=5%, memory &gt;=95%, OOM/137, incomplete measured interval or sustained cadence loss. Correctness/durability failures unrelated to explicit resource exhaustion remain PRODUCT FAIL.</w:t>
      </w:r>
    </w:p>
    <w:p>
      <w:pPr>
        <w:pStyle w:val="Heading1"/>
        <w:spacing w:before="0" w:after="20"/>
      </w:pPr>
      <w:r>
        <w:t>9. Synthetic control disposition</w:t>
      </w:r>
    </w:p>
    <w:p>
      <w:pPr>
        <w:spacing w:before="0" w:after="20"/>
      </w:pPr>
      <w:r>
        <w:t>Run 957c79ce-975e-4403-90da-9a29ab29adbf closes F-F007-001 because the nested runner work root completed end-to-end. It is retained only as Synthetic Engine Control: 1 CPU/2 GiB, 1000 alarms, 61 iterations, p95 941.48 ms, p99 1329.64 ms, 0 overruns, WAL=2, snapshot=1000 and durable==materialized. It does not establish a minimum viable production envelope.</w:t>
      </w:r>
    </w:p>
    <w:p>
      <w:pPr>
        <w:pStyle w:val="Heading1"/>
        <w:spacing w:before="0" w:after="20"/>
      </w:pPr>
      <w:r>
        <w:t>10. Execution disposition</w:t>
      </w:r>
    </w:p>
    <w:p>
      <w:pPr>
        <w:spacing w:before="0" w:after="20"/>
      </w:pPr>
      <w:r>
        <w:t>Current synthetic Phase B is blocked. The next increment is dataset-first: obtain/freeze the representative physical input and its manifest, then implement only the harness changes required for the read-only mount, physical source binding, same-container prewarm and cgroup page-cache/I/O telemetry. After that delta passes its authoritative gate, F-007 capacity scaling may resume. Changing Latest publications, multiple sources and moderate historical load remain reserved for F-010 Final Docker Qualification.</w:t>
      </w:r>
    </w:p>
    <w:sectPr w:rsidR="00FC693F" w:rsidRPr="0006063C" w:rsidSect="00034616">
      <w:pgSz w:w="12240" w:h="15840"/>
      <w:pgMar w:top="605" w:right="806" w:bottom="605" w:left="80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33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