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Atlanticus R3.6A-001</w:t>
        <w:br/>
        <w:t>Azure Runtime / Deployment Contract</w:t>
      </w:r>
    </w:p>
    <w:p>
      <w:pPr>
        <w:jc w:val="center"/>
      </w:pPr>
      <w:r>
        <w:rPr>
          <w:b/>
          <w:sz w:val="19"/>
        </w:rPr>
        <w:t>v1.0.0 · PROPOSED — DESIGN ONLY / IMPLEMENTATION BLOCKED</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DEDED"/>
          </w:tcPr>
          <w:p>
            <w:pPr>
              <w:spacing w:after="0"/>
            </w:pPr>
            <w:r/>
            <w:r>
              <w:rPr>
                <w:rFonts w:ascii="Aptos" w:hAnsi="Aptos"/>
                <w:b/>
                <w:sz w:val="15"/>
              </w:rPr>
              <w:t>Campaign</w:t>
            </w:r>
          </w:p>
        </w:tc>
        <w:tc>
          <w:tcPr>
            <w:tcW w:type="dxa" w:w="5184"/>
            <w:vAlign w:val="center"/>
          </w:tcPr>
          <w:p>
            <w:pPr>
              <w:spacing w:after="0"/>
            </w:pPr>
            <w:r/>
            <w:r>
              <w:rPr>
                <w:rFonts w:ascii="Aptos" w:hAnsi="Aptos"/>
                <w:b w:val="0"/>
                <w:sz w:val="15"/>
              </w:rPr>
              <w:t>R3.6 — Azure Deployment Qualification</w:t>
            </w:r>
          </w:p>
        </w:tc>
      </w:tr>
      <w:tr>
        <w:trPr>
          <w:cantSplit/>
        </w:trPr>
        <w:tc>
          <w:tcPr>
            <w:tcW w:type="dxa" w:w="5184"/>
            <w:vAlign w:val="center"/>
            <w:shd w:fill="EDEDED"/>
          </w:tcPr>
          <w:p>
            <w:pPr>
              <w:spacing w:after="0"/>
            </w:pPr>
            <w:r/>
            <w:r>
              <w:rPr>
                <w:rFonts w:ascii="Aptos" w:hAnsi="Aptos"/>
                <w:b/>
                <w:sz w:val="15"/>
              </w:rPr>
              <w:t>Increment</w:t>
            </w:r>
          </w:p>
        </w:tc>
        <w:tc>
          <w:tcPr>
            <w:tcW w:type="dxa" w:w="5184"/>
            <w:vAlign w:val="center"/>
          </w:tcPr>
          <w:p>
            <w:pPr>
              <w:spacing w:after="0"/>
            </w:pPr>
            <w:r/>
            <w:r>
              <w:rPr>
                <w:rFonts w:ascii="Aptos" w:hAnsi="Aptos"/>
                <w:b w:val="0"/>
                <w:sz w:val="15"/>
              </w:rPr>
              <w:t>R3.6A-001 — Freeze Azure Runtime / Deployment Contract</w:t>
            </w:r>
          </w:p>
        </w:tc>
      </w:tr>
      <w:tr>
        <w:trPr>
          <w:cantSplit/>
        </w:trPr>
        <w:tc>
          <w:tcPr>
            <w:tcW w:type="dxa" w:w="5184"/>
            <w:vAlign w:val="center"/>
            <w:shd w:fill="EDEDED"/>
          </w:tcPr>
          <w:p>
            <w:pPr>
              <w:spacing w:after="0"/>
            </w:pPr>
            <w:r/>
            <w:r>
              <w:rPr>
                <w:rFonts w:ascii="Aptos" w:hAnsi="Aptos"/>
                <w:b/>
                <w:sz w:val="15"/>
              </w:rPr>
              <w:t>Status</w:t>
            </w:r>
          </w:p>
        </w:tc>
        <w:tc>
          <w:tcPr>
            <w:tcW w:type="dxa" w:w="5184"/>
            <w:vAlign w:val="center"/>
          </w:tcPr>
          <w:p>
            <w:pPr>
              <w:spacing w:after="0"/>
            </w:pPr>
            <w:r/>
            <w:r>
              <w:rPr>
                <w:rFonts w:ascii="Aptos" w:hAnsi="Aptos"/>
                <w:b w:val="0"/>
                <w:sz w:val="15"/>
              </w:rPr>
              <w:t>PROPOSED — REVIEW REQUIRED / IMPLEMENTATION BLOCKED</w:t>
            </w:r>
          </w:p>
        </w:tc>
      </w:tr>
      <w:tr>
        <w:trPr>
          <w:cantSplit/>
        </w:trPr>
        <w:tc>
          <w:tcPr>
            <w:tcW w:type="dxa" w:w="5184"/>
            <w:vAlign w:val="center"/>
            <w:shd w:fill="EDEDED"/>
          </w:tcPr>
          <w:p>
            <w:pPr>
              <w:spacing w:after="0"/>
            </w:pPr>
            <w:r/>
            <w:r>
              <w:rPr>
                <w:rFonts w:ascii="Aptos" w:hAnsi="Aptos"/>
                <w:b/>
                <w:sz w:val="15"/>
              </w:rPr>
              <w:t>Product baseline</w:t>
            </w:r>
          </w:p>
        </w:tc>
        <w:tc>
          <w:tcPr>
            <w:tcW w:type="dxa" w:w="5184"/>
            <w:vAlign w:val="center"/>
          </w:tcPr>
          <w:p>
            <w:pPr>
              <w:spacing w:after="0"/>
            </w:pPr>
            <w:r/>
            <w:r>
              <w:rPr>
                <w:rFonts w:ascii="Aptos" w:hAnsi="Aptos"/>
                <w:b w:val="0"/>
                <w:sz w:val="15"/>
              </w:rPr>
              <w:t>R3.5 CLOSED PASS/GREEN</w:t>
            </w:r>
          </w:p>
        </w:tc>
      </w:tr>
      <w:tr>
        <w:trPr>
          <w:cantSplit/>
        </w:trPr>
        <w:tc>
          <w:tcPr>
            <w:tcW w:type="dxa" w:w="5184"/>
            <w:vAlign w:val="center"/>
            <w:shd w:fill="EDEDED"/>
          </w:tcPr>
          <w:p>
            <w:pPr>
              <w:spacing w:after="0"/>
            </w:pPr>
            <w:r/>
            <w:r>
              <w:rPr>
                <w:rFonts w:ascii="Aptos" w:hAnsi="Aptos"/>
                <w:b/>
                <w:sz w:val="15"/>
              </w:rPr>
              <w:t>Qualified local envelope</w:t>
            </w:r>
          </w:p>
        </w:tc>
        <w:tc>
          <w:tcPr>
            <w:tcW w:type="dxa" w:w="5184"/>
            <w:vAlign w:val="center"/>
          </w:tcPr>
          <w:p>
            <w:pPr>
              <w:spacing w:after="0"/>
            </w:pPr>
            <w:r/>
            <w:r>
              <w:rPr>
                <w:rFonts w:ascii="Aptos" w:hAnsi="Aptos"/>
                <w:b w:val="0"/>
                <w:sz w:val="15"/>
              </w:rPr>
              <w:t>E2 = 1 CPU / 2 GiB</w:t>
            </w:r>
          </w:p>
        </w:tc>
      </w:tr>
      <w:tr>
        <w:trPr>
          <w:cantSplit/>
        </w:trPr>
        <w:tc>
          <w:tcPr>
            <w:tcW w:type="dxa" w:w="5184"/>
            <w:vAlign w:val="center"/>
            <w:shd w:fill="EDEDED"/>
          </w:tcPr>
          <w:p>
            <w:pPr>
              <w:spacing w:after="0"/>
            </w:pPr>
            <w:r/>
            <w:r>
              <w:rPr>
                <w:rFonts w:ascii="Aptos" w:hAnsi="Aptos"/>
                <w:b/>
                <w:sz w:val="15"/>
              </w:rPr>
              <w:t>Azure target</w:t>
            </w:r>
          </w:p>
        </w:tc>
        <w:tc>
          <w:tcPr>
            <w:tcW w:type="dxa" w:w="5184"/>
            <w:vAlign w:val="center"/>
          </w:tcPr>
          <w:p>
            <w:pPr>
              <w:spacing w:after="0"/>
            </w:pPr>
            <w:r/>
            <w:r>
              <w:rPr>
                <w:rFonts w:ascii="Aptos" w:hAnsi="Aptos"/>
                <w:b w:val="0"/>
                <w:sz w:val="15"/>
              </w:rPr>
              <w:t>Azure Container Apps — Container App, not Job</w:t>
            </w:r>
          </w:p>
        </w:tc>
      </w:tr>
      <w:tr>
        <w:trPr>
          <w:cantSplit/>
        </w:trPr>
        <w:tc>
          <w:tcPr>
            <w:tcW w:type="dxa" w:w="5184"/>
            <w:vAlign w:val="center"/>
            <w:shd w:fill="EDEDED"/>
          </w:tcPr>
          <w:p>
            <w:pPr>
              <w:spacing w:after="0"/>
            </w:pPr>
            <w:r/>
            <w:r>
              <w:rPr>
                <w:rFonts w:ascii="Aptos" w:hAnsi="Aptos"/>
                <w:b/>
                <w:sz w:val="15"/>
              </w:rPr>
              <w:t>Scale during qualification</w:t>
            </w:r>
          </w:p>
        </w:tc>
        <w:tc>
          <w:tcPr>
            <w:tcW w:type="dxa" w:w="5184"/>
            <w:vAlign w:val="center"/>
          </w:tcPr>
          <w:p>
            <w:pPr>
              <w:spacing w:after="0"/>
            </w:pPr>
            <w:r/>
            <w:r>
              <w:rPr>
                <w:rFonts w:ascii="Aptos" w:hAnsi="Aptos"/>
                <w:b w:val="0"/>
                <w:sz w:val="15"/>
              </w:rPr>
              <w:t>minReplicas=1 / maxReplicas=1</w:t>
            </w:r>
          </w:p>
        </w:tc>
      </w:tr>
      <w:tr>
        <w:trPr>
          <w:cantSplit/>
        </w:trPr>
        <w:tc>
          <w:tcPr>
            <w:tcW w:type="dxa" w:w="5184"/>
            <w:vAlign w:val="center"/>
            <w:shd w:fill="EDEDED"/>
          </w:tcPr>
          <w:p>
            <w:pPr>
              <w:spacing w:after="0"/>
            </w:pPr>
            <w:r/>
            <w:r>
              <w:rPr>
                <w:rFonts w:ascii="Aptos" w:hAnsi="Aptos"/>
                <w:b/>
                <w:sz w:val="15"/>
              </w:rPr>
              <w:t>Ingress</w:t>
            </w:r>
          </w:p>
        </w:tc>
        <w:tc>
          <w:tcPr>
            <w:tcW w:type="dxa" w:w="5184"/>
            <w:vAlign w:val="center"/>
          </w:tcPr>
          <w:p>
            <w:pPr>
              <w:spacing w:after="0"/>
            </w:pPr>
            <w:r/>
            <w:r>
              <w:rPr>
                <w:rFonts w:ascii="Aptos" w:hAnsi="Aptos"/>
                <w:b w:val="0"/>
                <w:sz w:val="15"/>
              </w:rPr>
              <w:t>Disabled</w:t>
            </w:r>
          </w:p>
        </w:tc>
      </w:tr>
      <w:tr>
        <w:trPr>
          <w:cantSplit/>
        </w:trPr>
        <w:tc>
          <w:tcPr>
            <w:tcW w:type="dxa" w:w="5184"/>
            <w:vAlign w:val="center"/>
            <w:shd w:fill="EDEDED"/>
          </w:tcPr>
          <w:p>
            <w:pPr>
              <w:spacing w:after="0"/>
            </w:pPr>
            <w:r/>
            <w:r>
              <w:rPr>
                <w:rFonts w:ascii="Aptos" w:hAnsi="Aptos"/>
                <w:b/>
                <w:sz w:val="15"/>
              </w:rPr>
              <w:t>Revision mode</w:t>
            </w:r>
          </w:p>
        </w:tc>
        <w:tc>
          <w:tcPr>
            <w:tcW w:type="dxa" w:w="5184"/>
            <w:vAlign w:val="center"/>
          </w:tcPr>
          <w:p>
            <w:pPr>
              <w:spacing w:after="0"/>
            </w:pPr>
            <w:r/>
            <w:r>
              <w:rPr>
                <w:rFonts w:ascii="Aptos" w:hAnsi="Aptos"/>
                <w:b w:val="0"/>
                <w:sz w:val="15"/>
              </w:rPr>
              <w:t>Single</w:t>
            </w:r>
          </w:p>
        </w:tc>
      </w:tr>
      <w:tr>
        <w:trPr>
          <w:cantSplit/>
        </w:trPr>
        <w:tc>
          <w:tcPr>
            <w:tcW w:type="dxa" w:w="5184"/>
            <w:vAlign w:val="center"/>
            <w:shd w:fill="EDEDED"/>
          </w:tcPr>
          <w:p>
            <w:pPr>
              <w:spacing w:after="0"/>
            </w:pPr>
            <w:r/>
            <w:r>
              <w:rPr>
                <w:rFonts w:ascii="Aptos" w:hAnsi="Aptos"/>
                <w:b/>
                <w:sz w:val="15"/>
              </w:rPr>
              <w:t>Primary objective</w:t>
            </w:r>
          </w:p>
        </w:tc>
        <w:tc>
          <w:tcPr>
            <w:tcW w:type="dxa" w:w="5184"/>
            <w:vAlign w:val="center"/>
          </w:tcPr>
          <w:p>
            <w:pPr>
              <w:spacing w:after="0"/>
            </w:pPr>
            <w:r/>
            <w:r>
              <w:rPr>
                <w:rFonts w:ascii="Aptos" w:hAnsi="Aptos"/>
                <w:b w:val="0"/>
                <w:sz w:val="15"/>
              </w:rPr>
              <w:t>Prove Azure deployment equivalence before any product refactor</w:t>
            </w:r>
          </w:p>
        </w:tc>
      </w:tr>
    </w:tbl>
    <w:p>
      <w:pPr>
        <w:pStyle w:val="Heading1"/>
      </w:pPr>
      <w:r>
        <w:t>1. Purpose</w:t>
      </w:r>
    </w:p>
    <w:p>
      <w:r>
        <w:t>R3.6A-001 freezes the Azure execution contract for the Alarm Runtime after the local Docker performance/stress campaign closed green. The increment is architectural and contractual only. It does not implement infrastructure, change product packages or execute an Azure workload.</w:t>
      </w:r>
    </w:p>
    <w:p>
      <w:r>
        <w:t>The next risk to remove is environment equivalence: the already-qualified runtime must preserve its resource envelope, cadence, persistence semantics and controlled physical-data behavior when deployed to Azure. Additional scale, source realism and product changes are explicitly out of scope until this baseline is proven.</w:t>
      </w:r>
    </w:p>
    <w:p>
      <w:pPr>
        <w:pStyle w:val="Heading1"/>
      </w:pPr>
      <w:r>
        <w:t>2. Frozen Azure target</w:t>
      </w:r>
    </w:p>
    <w:tbl>
      <w:tblPr>
        <w:tblStyle w:val="TableGrid"/>
        <w:tblW w:type="auto" w:w="0"/>
        <w:jc w:val="center"/>
        <w:tblLook w:firstColumn="1" w:firstRow="1" w:lastColumn="0" w:lastRow="0" w:noHBand="0" w:noVBand="1" w:val="04A0"/>
      </w:tblPr>
      <w:tblGrid>
        <w:gridCol w:w="5184"/>
        <w:gridCol w:w="5184"/>
      </w:tblGrid>
      <w:tr>
        <w:trPr>
          <w:cantSplit/>
        </w:trPr>
        <w:tc>
          <w:tcPr>
            <w:tcW w:type="dxa" w:w="3240"/>
            <w:vAlign w:val="center"/>
            <w:shd w:fill="D9E2F3"/>
          </w:tcPr>
          <w:p>
            <w:pPr>
              <w:spacing w:after="0"/>
            </w:pPr>
            <w:r/>
            <w:r>
              <w:rPr>
                <w:rFonts w:ascii="Aptos" w:hAnsi="Aptos"/>
                <w:b/>
                <w:sz w:val="15"/>
              </w:rPr>
              <w:t>Contract item</w:t>
            </w:r>
          </w:p>
        </w:tc>
        <w:tc>
          <w:tcPr>
            <w:tcW w:type="dxa" w:w="7344"/>
            <w:vAlign w:val="center"/>
            <w:shd w:fill="D9E2F3"/>
          </w:tcPr>
          <w:p>
            <w:pPr>
              <w:spacing w:after="0"/>
            </w:pPr>
            <w:r/>
            <w:r>
              <w:rPr>
                <w:rFonts w:ascii="Aptos" w:hAnsi="Aptos"/>
                <w:b/>
                <w:sz w:val="15"/>
              </w:rPr>
              <w:t>Frozen decision</w:t>
            </w:r>
          </w:p>
        </w:tc>
      </w:tr>
      <w:tr>
        <w:trPr>
          <w:cantSplit/>
        </w:trPr>
        <w:tc>
          <w:tcPr>
            <w:tcW w:type="dxa" w:w="3240"/>
            <w:vAlign w:val="center"/>
          </w:tcPr>
          <w:p>
            <w:pPr>
              <w:spacing w:after="0"/>
            </w:pPr>
            <w:r/>
            <w:r>
              <w:rPr>
                <w:rFonts w:ascii="Aptos" w:hAnsi="Aptos"/>
                <w:b w:val="0"/>
                <w:sz w:val="15"/>
              </w:rPr>
              <w:t>Compute service</w:t>
            </w:r>
          </w:p>
        </w:tc>
        <w:tc>
          <w:tcPr>
            <w:tcW w:type="dxa" w:w="7344"/>
            <w:vAlign w:val="center"/>
          </w:tcPr>
          <w:p>
            <w:pPr>
              <w:spacing w:after="0"/>
            </w:pPr>
            <w:r/>
            <w:r>
              <w:rPr>
                <w:rFonts w:ascii="Aptos" w:hAnsi="Aptos"/>
                <w:b w:val="0"/>
                <w:sz w:val="15"/>
              </w:rPr>
              <w:t>Azure Container Apps (ACA) Container App</w:t>
            </w:r>
          </w:p>
        </w:tc>
      </w:tr>
      <w:tr>
        <w:trPr>
          <w:cantSplit/>
        </w:trPr>
        <w:tc>
          <w:tcPr>
            <w:tcW w:type="dxa" w:w="3240"/>
            <w:vAlign w:val="center"/>
          </w:tcPr>
          <w:p>
            <w:pPr>
              <w:spacing w:after="0"/>
            </w:pPr>
            <w:r/>
            <w:r>
              <w:rPr>
                <w:rFonts w:ascii="Aptos" w:hAnsi="Aptos"/>
                <w:b w:val="0"/>
                <w:sz w:val="15"/>
              </w:rPr>
              <w:t>Execution model</w:t>
            </w:r>
          </w:p>
        </w:tc>
        <w:tc>
          <w:tcPr>
            <w:tcW w:type="dxa" w:w="7344"/>
            <w:vAlign w:val="center"/>
          </w:tcPr>
          <w:p>
            <w:pPr>
              <w:spacing w:after="0"/>
            </w:pPr>
            <w:r/>
            <w:r>
              <w:rPr>
                <w:rFonts w:ascii="Aptos" w:hAnsi="Aptos"/>
                <w:b w:val="0"/>
                <w:sz w:val="15"/>
              </w:rPr>
              <w:t>Always-on long-running process; not an event/job execution</w:t>
            </w:r>
          </w:p>
        </w:tc>
      </w:tr>
      <w:tr>
        <w:trPr>
          <w:cantSplit/>
        </w:trPr>
        <w:tc>
          <w:tcPr>
            <w:tcW w:type="dxa" w:w="3240"/>
            <w:vAlign w:val="center"/>
          </w:tcPr>
          <w:p>
            <w:pPr>
              <w:spacing w:after="0"/>
            </w:pPr>
            <w:r/>
            <w:r>
              <w:rPr>
                <w:rFonts w:ascii="Aptos" w:hAnsi="Aptos"/>
                <w:b w:val="0"/>
                <w:sz w:val="15"/>
              </w:rPr>
              <w:t>Plan for baseline</w:t>
            </w:r>
          </w:p>
        </w:tc>
        <w:tc>
          <w:tcPr>
            <w:tcW w:type="dxa" w:w="7344"/>
            <w:vAlign w:val="center"/>
          </w:tcPr>
          <w:p>
            <w:pPr>
              <w:spacing w:after="0"/>
            </w:pPr>
            <w:r/>
            <w:r>
              <w:rPr>
                <w:rFonts w:ascii="Aptos" w:hAnsi="Aptos"/>
                <w:b w:val="0"/>
                <w:sz w:val="15"/>
              </w:rPr>
              <w:t>Consumption</w:t>
            </w:r>
          </w:p>
        </w:tc>
      </w:tr>
      <w:tr>
        <w:trPr>
          <w:cantSplit/>
        </w:trPr>
        <w:tc>
          <w:tcPr>
            <w:tcW w:type="dxa" w:w="3240"/>
            <w:vAlign w:val="center"/>
          </w:tcPr>
          <w:p>
            <w:pPr>
              <w:spacing w:after="0"/>
            </w:pPr>
            <w:r/>
            <w:r>
              <w:rPr>
                <w:rFonts w:ascii="Aptos" w:hAnsi="Aptos"/>
                <w:b w:val="0"/>
                <w:sz w:val="15"/>
              </w:rPr>
              <w:t>Container resources</w:t>
            </w:r>
          </w:p>
        </w:tc>
        <w:tc>
          <w:tcPr>
            <w:tcW w:type="dxa" w:w="7344"/>
            <w:vAlign w:val="center"/>
          </w:tcPr>
          <w:p>
            <w:pPr>
              <w:spacing w:after="0"/>
            </w:pPr>
            <w:r/>
            <w:r>
              <w:rPr>
                <w:rFonts w:ascii="Aptos" w:hAnsi="Aptos"/>
                <w:b w:val="0"/>
                <w:sz w:val="15"/>
              </w:rPr>
              <w:t>1.0 vCPU / 2.0 GiB exactly</w:t>
            </w:r>
          </w:p>
        </w:tc>
      </w:tr>
      <w:tr>
        <w:trPr>
          <w:cantSplit/>
        </w:trPr>
        <w:tc>
          <w:tcPr>
            <w:tcW w:type="dxa" w:w="3240"/>
            <w:vAlign w:val="center"/>
          </w:tcPr>
          <w:p>
            <w:pPr>
              <w:spacing w:after="0"/>
            </w:pPr>
            <w:r/>
            <w:r>
              <w:rPr>
                <w:rFonts w:ascii="Aptos" w:hAnsi="Aptos"/>
                <w:b w:val="0"/>
                <w:sz w:val="15"/>
              </w:rPr>
              <w:t>Minimum replicas</w:t>
            </w:r>
          </w:p>
        </w:tc>
        <w:tc>
          <w:tcPr>
            <w:tcW w:type="dxa" w:w="7344"/>
            <w:vAlign w:val="center"/>
          </w:tcPr>
          <w:p>
            <w:pPr>
              <w:spacing w:after="0"/>
            </w:pPr>
            <w:r/>
            <w:r>
              <w:rPr>
                <w:rFonts w:ascii="Aptos" w:hAnsi="Aptos"/>
                <w:b w:val="0"/>
                <w:sz w:val="15"/>
              </w:rPr>
              <w:t>1</w:t>
            </w:r>
          </w:p>
        </w:tc>
      </w:tr>
      <w:tr>
        <w:trPr>
          <w:cantSplit/>
        </w:trPr>
        <w:tc>
          <w:tcPr>
            <w:tcW w:type="dxa" w:w="3240"/>
            <w:vAlign w:val="center"/>
          </w:tcPr>
          <w:p>
            <w:pPr>
              <w:spacing w:after="0"/>
            </w:pPr>
            <w:r/>
            <w:r>
              <w:rPr>
                <w:rFonts w:ascii="Aptos" w:hAnsi="Aptos"/>
                <w:b w:val="0"/>
                <w:sz w:val="15"/>
              </w:rPr>
              <w:t>Maximum replicas</w:t>
            </w:r>
          </w:p>
        </w:tc>
        <w:tc>
          <w:tcPr>
            <w:tcW w:type="dxa" w:w="7344"/>
            <w:vAlign w:val="center"/>
          </w:tcPr>
          <w:p>
            <w:pPr>
              <w:spacing w:after="0"/>
            </w:pPr>
            <w:r/>
            <w:r>
              <w:rPr>
                <w:rFonts w:ascii="Aptos" w:hAnsi="Aptos"/>
                <w:b w:val="0"/>
                <w:sz w:val="15"/>
              </w:rPr>
              <w:t>1</w:t>
            </w:r>
          </w:p>
        </w:tc>
      </w:tr>
      <w:tr>
        <w:trPr>
          <w:cantSplit/>
        </w:trPr>
        <w:tc>
          <w:tcPr>
            <w:tcW w:type="dxa" w:w="3240"/>
            <w:vAlign w:val="center"/>
          </w:tcPr>
          <w:p>
            <w:pPr>
              <w:spacing w:after="0"/>
            </w:pPr>
            <w:r/>
            <w:r>
              <w:rPr>
                <w:rFonts w:ascii="Aptos" w:hAnsi="Aptos"/>
                <w:b w:val="0"/>
                <w:sz w:val="15"/>
              </w:rPr>
              <w:t>Autoscaling</w:t>
            </w:r>
          </w:p>
        </w:tc>
        <w:tc>
          <w:tcPr>
            <w:tcW w:type="dxa" w:w="7344"/>
            <w:vAlign w:val="center"/>
          </w:tcPr>
          <w:p>
            <w:pPr>
              <w:spacing w:after="0"/>
            </w:pPr>
            <w:r/>
            <w:r>
              <w:rPr>
                <w:rFonts w:ascii="Aptos" w:hAnsi="Aptos"/>
                <w:b w:val="0"/>
                <w:sz w:val="15"/>
              </w:rPr>
              <w:t>Disabled for qualification by min=max=1</w:t>
            </w:r>
          </w:p>
        </w:tc>
      </w:tr>
      <w:tr>
        <w:trPr>
          <w:cantSplit/>
        </w:trPr>
        <w:tc>
          <w:tcPr>
            <w:tcW w:type="dxa" w:w="3240"/>
            <w:vAlign w:val="center"/>
          </w:tcPr>
          <w:p>
            <w:pPr>
              <w:spacing w:after="0"/>
            </w:pPr>
            <w:r/>
            <w:r>
              <w:rPr>
                <w:rFonts w:ascii="Aptos" w:hAnsi="Aptos"/>
                <w:b w:val="0"/>
                <w:sz w:val="15"/>
              </w:rPr>
              <w:t>Ingress</w:t>
            </w:r>
          </w:p>
        </w:tc>
        <w:tc>
          <w:tcPr>
            <w:tcW w:type="dxa" w:w="7344"/>
            <w:vAlign w:val="center"/>
          </w:tcPr>
          <w:p>
            <w:pPr>
              <w:spacing w:after="0"/>
            </w:pPr>
            <w:r/>
            <w:r>
              <w:rPr>
                <w:rFonts w:ascii="Aptos" w:hAnsi="Aptos"/>
                <w:b w:val="0"/>
                <w:sz w:val="15"/>
              </w:rPr>
              <w:t>Disabled; Alarm Runtime is not exposed as a public web service</w:t>
            </w:r>
          </w:p>
        </w:tc>
      </w:tr>
      <w:tr>
        <w:trPr>
          <w:cantSplit/>
        </w:trPr>
        <w:tc>
          <w:tcPr>
            <w:tcW w:type="dxa" w:w="3240"/>
            <w:vAlign w:val="center"/>
          </w:tcPr>
          <w:p>
            <w:pPr>
              <w:spacing w:after="0"/>
            </w:pPr>
            <w:r/>
            <w:r>
              <w:rPr>
                <w:rFonts w:ascii="Aptos" w:hAnsi="Aptos"/>
                <w:b w:val="0"/>
                <w:sz w:val="15"/>
              </w:rPr>
              <w:t>Revision mode</w:t>
            </w:r>
          </w:p>
        </w:tc>
        <w:tc>
          <w:tcPr>
            <w:tcW w:type="dxa" w:w="7344"/>
            <w:vAlign w:val="center"/>
          </w:tcPr>
          <w:p>
            <w:pPr>
              <w:spacing w:after="0"/>
            </w:pPr>
            <w:r/>
            <w:r>
              <w:rPr>
                <w:rFonts w:ascii="Aptos" w:hAnsi="Aptos"/>
                <w:b w:val="0"/>
                <w:sz w:val="15"/>
              </w:rPr>
              <w:t>Single revision</w:t>
            </w:r>
          </w:p>
        </w:tc>
      </w:tr>
      <w:tr>
        <w:trPr>
          <w:cantSplit/>
        </w:trPr>
        <w:tc>
          <w:tcPr>
            <w:tcW w:type="dxa" w:w="3240"/>
            <w:vAlign w:val="center"/>
          </w:tcPr>
          <w:p>
            <w:pPr>
              <w:spacing w:after="0"/>
            </w:pPr>
            <w:r/>
            <w:r>
              <w:rPr>
                <w:rFonts w:ascii="Aptos" w:hAnsi="Aptos"/>
                <w:b w:val="0"/>
                <w:sz w:val="15"/>
              </w:rPr>
              <w:t>Image registry</w:t>
            </w:r>
          </w:p>
        </w:tc>
        <w:tc>
          <w:tcPr>
            <w:tcW w:type="dxa" w:w="7344"/>
            <w:vAlign w:val="center"/>
          </w:tcPr>
          <w:p>
            <w:pPr>
              <w:spacing w:after="0"/>
            </w:pPr>
            <w:r/>
            <w:r>
              <w:rPr>
                <w:rFonts w:ascii="Aptos" w:hAnsi="Aptos"/>
                <w:b w:val="0"/>
                <w:sz w:val="15"/>
              </w:rPr>
              <w:t>Azure Container Registry (ACR) or equivalent approved private registry</w:t>
            </w:r>
          </w:p>
        </w:tc>
      </w:tr>
      <w:tr>
        <w:trPr>
          <w:cantSplit/>
        </w:trPr>
        <w:tc>
          <w:tcPr>
            <w:tcW w:type="dxa" w:w="3240"/>
            <w:vAlign w:val="center"/>
          </w:tcPr>
          <w:p>
            <w:pPr>
              <w:spacing w:after="0"/>
            </w:pPr>
            <w:r/>
            <w:r>
              <w:rPr>
                <w:rFonts w:ascii="Aptos" w:hAnsi="Aptos"/>
                <w:b w:val="0"/>
                <w:sz w:val="15"/>
              </w:rPr>
              <w:t>Replica ownership</w:t>
            </w:r>
          </w:p>
        </w:tc>
        <w:tc>
          <w:tcPr>
            <w:tcW w:type="dxa" w:w="7344"/>
            <w:vAlign w:val="center"/>
          </w:tcPr>
          <w:p>
            <w:pPr>
              <w:spacing w:after="0"/>
            </w:pPr>
            <w:r/>
            <w:r>
              <w:rPr>
                <w:rFonts w:ascii="Aptos" w:hAnsi="Aptos"/>
                <w:b w:val="0"/>
                <w:sz w:val="15"/>
              </w:rPr>
              <w:t>One active replica for baseline qualification</w:t>
            </w:r>
          </w:p>
        </w:tc>
      </w:tr>
    </w:tbl>
    <w:p>
      <w:r>
        <w:t>Rationale: ACA Consumption supports the exact 1 vCPU / 2 GiB combination qualified in R3.5. When ingress is disabled, at least one minimum replica is required to prevent an inactive app from scaling to zero with no trigger able to restart it. Horizontal scaling is intentionally excluded from the first Azure qualification.</w:t>
      </w:r>
    </w:p>
    <w:p>
      <w:r>
        <w:br w:type="page"/>
      </w:r>
    </w:p>
    <w:p>
      <w:pPr>
        <w:pStyle w:val="Heading1"/>
      </w:pPr>
      <w:r>
        <w:t>3. Identity and secret contract</w:t>
      </w:r>
    </w:p>
    <w:tbl>
      <w:tblPr>
        <w:tblStyle w:val="TableGrid"/>
        <w:tblW w:type="auto" w:w="0"/>
        <w:jc w:val="center"/>
        <w:tblLook w:firstColumn="1" w:firstRow="1" w:lastColumn="0" w:lastRow="0" w:noHBand="0" w:noVBand="1" w:val="04A0"/>
      </w:tblPr>
      <w:tblGrid>
        <w:gridCol w:w="5184"/>
        <w:gridCol w:w="5184"/>
      </w:tblGrid>
      <w:tr>
        <w:trPr>
          <w:cantSplit/>
        </w:trPr>
        <w:tc>
          <w:tcPr>
            <w:tcW w:type="dxa" w:w="3168"/>
            <w:vAlign w:val="center"/>
            <w:shd w:fill="D9E2F3"/>
          </w:tcPr>
          <w:p>
            <w:pPr>
              <w:spacing w:after="0"/>
            </w:pPr>
            <w:r/>
            <w:r>
              <w:rPr>
                <w:rFonts w:ascii="Aptos" w:hAnsi="Aptos"/>
                <w:b/>
                <w:sz w:val="15"/>
              </w:rPr>
              <w:t>Area</w:t>
            </w:r>
          </w:p>
        </w:tc>
        <w:tc>
          <w:tcPr>
            <w:tcW w:type="dxa" w:w="7416"/>
            <w:vAlign w:val="center"/>
            <w:shd w:fill="D9E2F3"/>
          </w:tcPr>
          <w:p>
            <w:pPr>
              <w:spacing w:after="0"/>
            </w:pPr>
            <w:r/>
            <w:r>
              <w:rPr>
                <w:rFonts w:ascii="Aptos" w:hAnsi="Aptos"/>
                <w:b/>
                <w:sz w:val="15"/>
              </w:rPr>
              <w:t>Frozen contract</w:t>
            </w:r>
          </w:p>
        </w:tc>
      </w:tr>
      <w:tr>
        <w:trPr>
          <w:cantSplit/>
        </w:trPr>
        <w:tc>
          <w:tcPr>
            <w:tcW w:type="dxa" w:w="3168"/>
            <w:vAlign w:val="center"/>
          </w:tcPr>
          <w:p>
            <w:pPr>
              <w:spacing w:after="0"/>
            </w:pPr>
            <w:r/>
            <w:r>
              <w:rPr>
                <w:rFonts w:ascii="Aptos" w:hAnsi="Aptos"/>
                <w:b w:val="0"/>
                <w:sz w:val="15"/>
              </w:rPr>
              <w:t>Application identity</w:t>
            </w:r>
          </w:p>
        </w:tc>
        <w:tc>
          <w:tcPr>
            <w:tcW w:type="dxa" w:w="7416"/>
            <w:vAlign w:val="center"/>
          </w:tcPr>
          <w:p>
            <w:pPr>
              <w:spacing w:after="0"/>
            </w:pPr>
            <w:r/>
            <w:r>
              <w:rPr>
                <w:rFonts w:ascii="Aptos" w:hAnsi="Aptos"/>
                <w:b w:val="0"/>
                <w:sz w:val="15"/>
              </w:rPr>
              <w:t>Prefer one user-assigned Managed Identity for stable pre-authorization across revisions.</w:t>
            </w:r>
          </w:p>
        </w:tc>
      </w:tr>
      <w:tr>
        <w:trPr>
          <w:cantSplit/>
        </w:trPr>
        <w:tc>
          <w:tcPr>
            <w:tcW w:type="dxa" w:w="3168"/>
            <w:vAlign w:val="center"/>
          </w:tcPr>
          <w:p>
            <w:pPr>
              <w:spacing w:after="0"/>
            </w:pPr>
            <w:r/>
            <w:r>
              <w:rPr>
                <w:rFonts w:ascii="Aptos" w:hAnsi="Aptos"/>
                <w:b w:val="0"/>
                <w:sz w:val="15"/>
              </w:rPr>
              <w:t>ACR pull</w:t>
            </w:r>
          </w:p>
        </w:tc>
        <w:tc>
          <w:tcPr>
            <w:tcW w:type="dxa" w:w="7416"/>
            <w:vAlign w:val="center"/>
          </w:tcPr>
          <w:p>
            <w:pPr>
              <w:spacing w:after="0"/>
            </w:pPr>
            <w:r/>
            <w:r>
              <w:rPr>
                <w:rFonts w:ascii="Aptos" w:hAnsi="Aptos"/>
                <w:b w:val="0"/>
                <w:sz w:val="15"/>
              </w:rPr>
              <w:t>Managed Identity; no registry username/password in application configuration.</w:t>
            </w:r>
          </w:p>
        </w:tc>
      </w:tr>
      <w:tr>
        <w:trPr>
          <w:cantSplit/>
        </w:trPr>
        <w:tc>
          <w:tcPr>
            <w:tcW w:type="dxa" w:w="3168"/>
            <w:vAlign w:val="center"/>
          </w:tcPr>
          <w:p>
            <w:pPr>
              <w:spacing w:after="0"/>
            </w:pPr>
            <w:r/>
            <w:r>
              <w:rPr>
                <w:rFonts w:ascii="Aptos" w:hAnsi="Aptos"/>
                <w:b w:val="0"/>
                <w:sz w:val="15"/>
              </w:rPr>
              <w:t>Key Vault</w:t>
            </w:r>
          </w:p>
        </w:tc>
        <w:tc>
          <w:tcPr>
            <w:tcW w:type="dxa" w:w="7416"/>
            <w:vAlign w:val="center"/>
          </w:tcPr>
          <w:p>
            <w:pPr>
              <w:spacing w:after="0"/>
            </w:pPr>
            <w:r/>
            <w:r>
              <w:rPr>
                <w:rFonts w:ascii="Aptos" w:hAnsi="Aptos"/>
                <w:b w:val="0"/>
                <w:sz w:val="15"/>
              </w:rPr>
              <w:t>Managed Identity + RBAC; Key Vault references for secrets that must exist as Container Apps secrets.</w:t>
            </w:r>
          </w:p>
        </w:tc>
      </w:tr>
      <w:tr>
        <w:trPr>
          <w:cantSplit/>
        </w:trPr>
        <w:tc>
          <w:tcPr>
            <w:tcW w:type="dxa" w:w="3168"/>
            <w:vAlign w:val="center"/>
          </w:tcPr>
          <w:p>
            <w:pPr>
              <w:spacing w:after="0"/>
            </w:pPr>
            <w:r/>
            <w:r>
              <w:rPr>
                <w:rFonts w:ascii="Aptos" w:hAnsi="Aptos"/>
                <w:b w:val="0"/>
                <w:sz w:val="15"/>
              </w:rPr>
              <w:t>Azure service access</w:t>
            </w:r>
          </w:p>
        </w:tc>
        <w:tc>
          <w:tcPr>
            <w:tcW w:type="dxa" w:w="7416"/>
            <w:vAlign w:val="center"/>
          </w:tcPr>
          <w:p>
            <w:pPr>
              <w:spacing w:after="0"/>
            </w:pPr>
            <w:r/>
            <w:r>
              <w:rPr>
                <w:rFonts w:ascii="Aptos" w:hAnsi="Aptos"/>
                <w:b w:val="0"/>
                <w:sz w:val="15"/>
              </w:rPr>
              <w:t>Use Microsoft Entra ID / Managed Identity whenever the target service supports it.</w:t>
            </w:r>
          </w:p>
        </w:tc>
      </w:tr>
      <w:tr>
        <w:trPr>
          <w:cantSplit/>
        </w:trPr>
        <w:tc>
          <w:tcPr>
            <w:tcW w:type="dxa" w:w="3168"/>
            <w:vAlign w:val="center"/>
          </w:tcPr>
          <w:p>
            <w:pPr>
              <w:spacing w:after="0"/>
            </w:pPr>
            <w:r/>
            <w:r>
              <w:rPr>
                <w:rFonts w:ascii="Aptos" w:hAnsi="Aptos"/>
                <w:b w:val="0"/>
                <w:sz w:val="15"/>
              </w:rPr>
              <w:t>Generic credentials</w:t>
            </w:r>
          </w:p>
        </w:tc>
        <w:tc>
          <w:tcPr>
            <w:tcW w:type="dxa" w:w="7416"/>
            <w:vAlign w:val="center"/>
          </w:tcPr>
          <w:p>
            <w:pPr>
              <w:spacing w:after="0"/>
            </w:pPr>
            <w:r/>
            <w:r>
              <w:rPr>
                <w:rFonts w:ascii="Aptos" w:hAnsi="Aptos"/>
                <w:b w:val="0"/>
                <w:sz w:val="15"/>
              </w:rPr>
              <w:t>Allowed only where identity-based authentication is unavailable; values remain outside code/logs.</w:t>
            </w:r>
          </w:p>
        </w:tc>
      </w:tr>
      <w:tr>
        <w:trPr>
          <w:cantSplit/>
        </w:trPr>
        <w:tc>
          <w:tcPr>
            <w:tcW w:type="dxa" w:w="3168"/>
            <w:vAlign w:val="center"/>
          </w:tcPr>
          <w:p>
            <w:pPr>
              <w:spacing w:after="0"/>
            </w:pPr>
            <w:r/>
            <w:r>
              <w:rPr>
                <w:rFonts w:ascii="Aptos" w:hAnsi="Aptos"/>
                <w:b w:val="0"/>
                <w:sz w:val="15"/>
              </w:rPr>
              <w:t>Logging</w:t>
            </w:r>
          </w:p>
        </w:tc>
        <w:tc>
          <w:tcPr>
            <w:tcW w:type="dxa" w:w="7416"/>
            <w:vAlign w:val="center"/>
          </w:tcPr>
          <w:p>
            <w:pPr>
              <w:spacing w:after="0"/>
            </w:pPr>
            <w:r/>
            <w:r>
              <w:rPr>
                <w:rFonts w:ascii="Aptos" w:hAnsi="Aptos"/>
                <w:b w:val="0"/>
                <w:sz w:val="15"/>
              </w:rPr>
              <w:t>No access tokens, account keys, SAS values, connection strings or secret payloads.</w:t>
            </w:r>
          </w:p>
        </w:tc>
      </w:tr>
      <w:tr>
        <w:trPr>
          <w:cantSplit/>
        </w:trPr>
        <w:tc>
          <w:tcPr>
            <w:tcW w:type="dxa" w:w="3168"/>
            <w:vAlign w:val="center"/>
          </w:tcPr>
          <w:p>
            <w:pPr>
              <w:spacing w:after="0"/>
            </w:pPr>
            <w:r/>
            <w:r>
              <w:rPr>
                <w:rFonts w:ascii="Aptos" w:hAnsi="Aptos"/>
                <w:b w:val="0"/>
                <w:sz w:val="15"/>
              </w:rPr>
              <w:t>Rotation</w:t>
            </w:r>
          </w:p>
        </w:tc>
        <w:tc>
          <w:tcPr>
            <w:tcW w:type="dxa" w:w="7416"/>
            <w:vAlign w:val="center"/>
          </w:tcPr>
          <w:p>
            <w:pPr>
              <w:spacing w:after="0"/>
            </w:pPr>
            <w:r/>
            <w:r>
              <w:rPr>
                <w:rFonts w:ascii="Aptos" w:hAnsi="Aptos"/>
                <w:b w:val="0"/>
                <w:sz w:val="15"/>
              </w:rPr>
              <w:t>Secrets and infrastructure credentials must be replaceable without source-code changes.</w:t>
            </w:r>
          </w:p>
        </w:tc>
      </w:tr>
    </w:tbl>
    <w:p>
      <w:r>
        <w:t>Container Apps can use managed identities to access Entra-protected services, including Key Vault, Azure SQL and Azure Storage APIs. Key Vault references are therefore the default for application-level secret material.</w:t>
      </w:r>
    </w:p>
    <w:p>
      <w:pPr>
        <w:pStyle w:val="Heading1"/>
      </w:pPr>
      <w:r>
        <w:t>4. Persistence contract</w:t>
      </w:r>
    </w:p>
    <w:tbl>
      <w:tblPr>
        <w:tblStyle w:val="TableGrid"/>
        <w:tblW w:type="auto" w:w="0"/>
        <w:jc w:val="center"/>
        <w:tblLook w:firstColumn="1" w:firstRow="1" w:lastColumn="0" w:lastRow="0" w:noHBand="0" w:noVBand="1" w:val="04A0"/>
      </w:tblPr>
      <w:tblGrid>
        <w:gridCol w:w="5184"/>
        <w:gridCol w:w="5184"/>
      </w:tblGrid>
      <w:tr>
        <w:trPr>
          <w:cantSplit/>
        </w:trPr>
        <w:tc>
          <w:tcPr>
            <w:tcW w:type="dxa" w:w="3168"/>
            <w:vAlign w:val="center"/>
            <w:shd w:fill="D9E2F3"/>
          </w:tcPr>
          <w:p>
            <w:pPr>
              <w:spacing w:after="0"/>
            </w:pPr>
            <w:r/>
            <w:r>
              <w:rPr>
                <w:rFonts w:ascii="Aptos" w:hAnsi="Aptos"/>
                <w:b/>
                <w:sz w:val="15"/>
              </w:rPr>
              <w:t>Item</w:t>
            </w:r>
          </w:p>
        </w:tc>
        <w:tc>
          <w:tcPr>
            <w:tcW w:type="dxa" w:w="7416"/>
            <w:vAlign w:val="center"/>
            <w:shd w:fill="D9E2F3"/>
          </w:tcPr>
          <w:p>
            <w:pPr>
              <w:spacing w:after="0"/>
            </w:pPr>
            <w:r/>
            <w:r>
              <w:rPr>
                <w:rFonts w:ascii="Aptos" w:hAnsi="Aptos"/>
                <w:b/>
                <w:sz w:val="15"/>
              </w:rPr>
              <w:t>Frozen decision</w:t>
            </w:r>
          </w:p>
        </w:tc>
      </w:tr>
      <w:tr>
        <w:trPr>
          <w:cantSplit/>
        </w:trPr>
        <w:tc>
          <w:tcPr>
            <w:tcW w:type="dxa" w:w="3168"/>
            <w:vAlign w:val="center"/>
          </w:tcPr>
          <w:p>
            <w:pPr>
              <w:spacing w:after="0"/>
            </w:pPr>
            <w:r/>
            <w:r>
              <w:rPr>
                <w:rFonts w:ascii="Aptos" w:hAnsi="Aptos"/>
                <w:b w:val="0"/>
                <w:sz w:val="15"/>
              </w:rPr>
              <w:t>Durable runtime state</w:t>
            </w:r>
          </w:p>
        </w:tc>
        <w:tc>
          <w:tcPr>
            <w:tcW w:type="dxa" w:w="7416"/>
            <w:vAlign w:val="center"/>
          </w:tcPr>
          <w:p>
            <w:pPr>
              <w:spacing w:after="0"/>
            </w:pPr>
            <w:r/>
            <w:r>
              <w:rPr>
                <w:rFonts w:ascii="Aptos" w:hAnsi="Aptos"/>
                <w:b w:val="0"/>
                <w:sz w:val="15"/>
              </w:rPr>
              <w:t>Persistent filesystem semantics must be preserved for the first Azure parity qualification.</w:t>
            </w:r>
          </w:p>
        </w:tc>
      </w:tr>
      <w:tr>
        <w:trPr>
          <w:cantSplit/>
        </w:trPr>
        <w:tc>
          <w:tcPr>
            <w:tcW w:type="dxa" w:w="3168"/>
            <w:vAlign w:val="center"/>
          </w:tcPr>
          <w:p>
            <w:pPr>
              <w:spacing w:after="0"/>
            </w:pPr>
            <w:r/>
            <w:r>
              <w:rPr>
                <w:rFonts w:ascii="Aptos" w:hAnsi="Aptos"/>
                <w:b w:val="0"/>
                <w:sz w:val="15"/>
              </w:rPr>
              <w:t>Azure mechanism</w:t>
            </w:r>
          </w:p>
        </w:tc>
        <w:tc>
          <w:tcPr>
            <w:tcW w:type="dxa" w:w="7416"/>
            <w:vAlign w:val="center"/>
          </w:tcPr>
          <w:p>
            <w:pPr>
              <w:spacing w:after="0"/>
            </w:pPr>
            <w:r/>
            <w:r>
              <w:rPr>
                <w:rFonts w:ascii="Aptos" w:hAnsi="Aptos"/>
                <w:b w:val="0"/>
                <w:sz w:val="15"/>
              </w:rPr>
              <w:t>Azure Files SMB volume mounted ReadWrite to a deployment-composed runtime state root.</w:t>
            </w:r>
          </w:p>
        </w:tc>
      </w:tr>
      <w:tr>
        <w:trPr>
          <w:cantSplit/>
        </w:trPr>
        <w:tc>
          <w:tcPr>
            <w:tcW w:type="dxa" w:w="3168"/>
            <w:vAlign w:val="center"/>
          </w:tcPr>
          <w:p>
            <w:pPr>
              <w:spacing w:after="0"/>
            </w:pPr>
            <w:r/>
            <w:r>
              <w:rPr>
                <w:rFonts w:ascii="Aptos" w:hAnsi="Aptos"/>
                <w:b w:val="0"/>
                <w:sz w:val="15"/>
              </w:rPr>
              <w:t>Product coupling</w:t>
            </w:r>
          </w:p>
        </w:tc>
        <w:tc>
          <w:tcPr>
            <w:tcW w:type="dxa" w:w="7416"/>
            <w:vAlign w:val="center"/>
          </w:tcPr>
          <w:p>
            <w:pPr>
              <w:spacing w:after="0"/>
            </w:pPr>
            <w:r/>
            <w:r>
              <w:rPr>
                <w:rFonts w:ascii="Aptos" w:hAnsi="Aptos"/>
                <w:b w:val="0"/>
                <w:sz w:val="15"/>
              </w:rPr>
              <w:t>The mount path is injected by deployment composition; Core/Persistence must not hardcode Azure.</w:t>
            </w:r>
          </w:p>
        </w:tc>
      </w:tr>
      <w:tr>
        <w:trPr>
          <w:cantSplit/>
        </w:trPr>
        <w:tc>
          <w:tcPr>
            <w:tcW w:type="dxa" w:w="3168"/>
            <w:vAlign w:val="center"/>
          </w:tcPr>
          <w:p>
            <w:pPr>
              <w:spacing w:after="0"/>
            </w:pPr>
            <w:r/>
            <w:r>
              <w:rPr>
                <w:rFonts w:ascii="Aptos" w:hAnsi="Aptos"/>
                <w:b w:val="0"/>
                <w:sz w:val="15"/>
              </w:rPr>
              <w:t>Input bank</w:t>
            </w:r>
          </w:p>
        </w:tc>
        <w:tc>
          <w:tcPr>
            <w:tcW w:type="dxa" w:w="7416"/>
            <w:vAlign w:val="center"/>
          </w:tcPr>
          <w:p>
            <w:pPr>
              <w:spacing w:after="0"/>
            </w:pPr>
            <w:r/>
            <w:r>
              <w:rPr>
                <w:rFonts w:ascii="Aptos" w:hAnsi="Aptos"/>
                <w:b w:val="0"/>
                <w:sz w:val="15"/>
              </w:rPr>
              <w:t>Accepted F-007 controlled physical bank mounted separately ReadOnly.</w:t>
            </w:r>
          </w:p>
        </w:tc>
      </w:tr>
      <w:tr>
        <w:trPr>
          <w:cantSplit/>
        </w:trPr>
        <w:tc>
          <w:tcPr>
            <w:tcW w:type="dxa" w:w="3168"/>
            <w:vAlign w:val="center"/>
          </w:tcPr>
          <w:p>
            <w:pPr>
              <w:spacing w:after="0"/>
            </w:pPr>
            <w:r/>
            <w:r>
              <w:rPr>
                <w:rFonts w:ascii="Aptos" w:hAnsi="Aptos"/>
                <w:b w:val="0"/>
                <w:sz w:val="15"/>
              </w:rPr>
              <w:t>Input mutability</w:t>
            </w:r>
          </w:p>
        </w:tc>
        <w:tc>
          <w:tcPr>
            <w:tcW w:type="dxa" w:w="7416"/>
            <w:vAlign w:val="center"/>
          </w:tcPr>
          <w:p>
            <w:pPr>
              <w:spacing w:after="0"/>
            </w:pPr>
            <w:r/>
            <w:r>
              <w:rPr>
                <w:rFonts w:ascii="Aptos" w:hAnsi="Aptos"/>
                <w:b w:val="0"/>
                <w:sz w:val="15"/>
              </w:rPr>
              <w:t>No write permission to the physical bank.</w:t>
            </w:r>
          </w:p>
        </w:tc>
      </w:tr>
      <w:tr>
        <w:trPr>
          <w:cantSplit/>
        </w:trPr>
        <w:tc>
          <w:tcPr>
            <w:tcW w:type="dxa" w:w="3168"/>
            <w:vAlign w:val="center"/>
          </w:tcPr>
          <w:p>
            <w:pPr>
              <w:spacing w:after="0"/>
            </w:pPr>
            <w:r/>
            <w:r>
              <w:rPr>
                <w:rFonts w:ascii="Aptos" w:hAnsi="Aptos"/>
                <w:b w:val="0"/>
                <w:sz w:val="15"/>
              </w:rPr>
              <w:t>Local ephemeral disk</w:t>
            </w:r>
          </w:p>
        </w:tc>
        <w:tc>
          <w:tcPr>
            <w:tcW w:type="dxa" w:w="7416"/>
            <w:vAlign w:val="center"/>
          </w:tcPr>
          <w:p>
            <w:pPr>
              <w:spacing w:after="0"/>
            </w:pPr>
            <w:r/>
            <w:r>
              <w:rPr>
                <w:rFonts w:ascii="Aptos" w:hAnsi="Aptos"/>
                <w:b w:val="0"/>
                <w:sz w:val="15"/>
              </w:rPr>
              <w:t>May be used only for disposable cache/temp data, never authoritative WAL/snapshot state.</w:t>
            </w:r>
          </w:p>
        </w:tc>
      </w:tr>
      <w:tr>
        <w:trPr>
          <w:cantSplit/>
        </w:trPr>
        <w:tc>
          <w:tcPr>
            <w:tcW w:type="dxa" w:w="3168"/>
            <w:vAlign w:val="center"/>
          </w:tcPr>
          <w:p>
            <w:pPr>
              <w:spacing w:after="0"/>
            </w:pPr>
            <w:r/>
            <w:r>
              <w:rPr>
                <w:rFonts w:ascii="Aptos" w:hAnsi="Aptos"/>
                <w:b w:val="0"/>
                <w:sz w:val="15"/>
              </w:rPr>
              <w:t>Scale-out</w:t>
            </w:r>
          </w:p>
        </w:tc>
        <w:tc>
          <w:tcPr>
            <w:tcW w:type="dxa" w:w="7416"/>
            <w:vAlign w:val="center"/>
          </w:tcPr>
          <w:p>
            <w:pPr>
              <w:spacing w:after="0"/>
            </w:pPr>
            <w:r/>
            <w:r>
              <w:rPr>
                <w:rFonts w:ascii="Aptos" w:hAnsi="Aptos"/>
                <w:b w:val="0"/>
                <w:sz w:val="15"/>
              </w:rPr>
              <w:t>Not qualified while filesystem state is shared; maxReplicas remains 1.</w:t>
            </w:r>
          </w:p>
        </w:tc>
      </w:tr>
    </w:tbl>
    <w:p>
      <w:pPr>
        <w:pStyle w:val="Heading1"/>
      </w:pPr>
      <w:r>
        <w:t>5. Azure Files authentication exception</w:t>
      </w:r>
    </w:p>
    <w:p>
      <w:r>
        <w:t>Current Azure Container Apps Azure Files mounting requires a storage-account key when the environment storage link is configured; identity-based mounting is not available for this ACA mechanism. This is a platform-level exception, not an application credential contract.</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vAlign w:val="center"/>
            <w:shd w:fill="D9E2F3"/>
          </w:tcPr>
          <w:p>
            <w:pPr>
              <w:spacing w:after="0"/>
            </w:pPr>
            <w:r/>
            <w:r>
              <w:rPr>
                <w:rFonts w:ascii="Aptos" w:hAnsi="Aptos"/>
                <w:b/>
                <w:sz w:val="15"/>
              </w:rPr>
              <w:t>Rule</w:t>
            </w:r>
          </w:p>
        </w:tc>
        <w:tc>
          <w:tcPr>
            <w:tcW w:type="dxa" w:w="7704"/>
            <w:vAlign w:val="center"/>
            <w:shd w:fill="D9E2F3"/>
          </w:tcPr>
          <w:p>
            <w:pPr>
              <w:spacing w:after="0"/>
            </w:pPr>
            <w:r/>
            <w:r>
              <w:rPr>
                <w:rFonts w:ascii="Aptos" w:hAnsi="Aptos"/>
                <w:b/>
                <w:sz w:val="15"/>
              </w:rPr>
              <w:t>Required treatment</w:t>
            </w:r>
          </w:p>
        </w:tc>
      </w:tr>
      <w:tr>
        <w:trPr>
          <w:cantSplit/>
        </w:trPr>
        <w:tc>
          <w:tcPr>
            <w:tcW w:type="dxa" w:w="2880"/>
            <w:vAlign w:val="center"/>
          </w:tcPr>
          <w:p>
            <w:pPr>
              <w:spacing w:after="0"/>
            </w:pPr>
            <w:r/>
            <w:r>
              <w:rPr>
                <w:rFonts w:ascii="Aptos" w:hAnsi="Aptos"/>
                <w:b w:val="0"/>
                <w:sz w:val="15"/>
              </w:rPr>
              <w:t>Key exposure</w:t>
            </w:r>
          </w:p>
        </w:tc>
        <w:tc>
          <w:tcPr>
            <w:tcW w:type="dxa" w:w="7704"/>
            <w:vAlign w:val="center"/>
          </w:tcPr>
          <w:p>
            <w:pPr>
              <w:spacing w:after="0"/>
            </w:pPr>
            <w:r/>
            <w:r>
              <w:rPr>
                <w:rFonts w:ascii="Aptos" w:hAnsi="Aptos"/>
                <w:b w:val="0"/>
                <w:sz w:val="15"/>
              </w:rPr>
              <w:t>The Azure Files account key must never enter application environment variables, code or logs.</w:t>
            </w:r>
          </w:p>
        </w:tc>
      </w:tr>
      <w:tr>
        <w:trPr>
          <w:cantSplit/>
        </w:trPr>
        <w:tc>
          <w:tcPr>
            <w:tcW w:type="dxa" w:w="2880"/>
            <w:vAlign w:val="center"/>
          </w:tcPr>
          <w:p>
            <w:pPr>
              <w:spacing w:after="0"/>
            </w:pPr>
            <w:r/>
            <w:r>
              <w:rPr>
                <w:rFonts w:ascii="Aptos" w:hAnsi="Aptos"/>
                <w:b w:val="0"/>
                <w:sz w:val="15"/>
              </w:rPr>
              <w:t>Provisioning</w:t>
            </w:r>
          </w:p>
        </w:tc>
        <w:tc>
          <w:tcPr>
            <w:tcW w:type="dxa" w:w="7704"/>
            <w:vAlign w:val="center"/>
          </w:tcPr>
          <w:p>
            <w:pPr>
              <w:spacing w:after="0"/>
            </w:pPr>
            <w:r/>
            <w:r>
              <w:rPr>
                <w:rFonts w:ascii="Aptos" w:hAnsi="Aptos"/>
                <w:b w:val="0"/>
                <w:sz w:val="15"/>
              </w:rPr>
              <w:t>Pass only through the secure deployment/IaC execution boundary.</w:t>
            </w:r>
          </w:p>
        </w:tc>
      </w:tr>
      <w:tr>
        <w:trPr>
          <w:cantSplit/>
        </w:trPr>
        <w:tc>
          <w:tcPr>
            <w:tcW w:type="dxa" w:w="2880"/>
            <w:vAlign w:val="center"/>
          </w:tcPr>
          <w:p>
            <w:pPr>
              <w:spacing w:after="0"/>
            </w:pPr>
            <w:r/>
            <w:r>
              <w:rPr>
                <w:rFonts w:ascii="Aptos" w:hAnsi="Aptos"/>
                <w:b w:val="0"/>
                <w:sz w:val="15"/>
              </w:rPr>
              <w:t>Source control</w:t>
            </w:r>
          </w:p>
        </w:tc>
        <w:tc>
          <w:tcPr>
            <w:tcW w:type="dxa" w:w="7704"/>
            <w:vAlign w:val="center"/>
          </w:tcPr>
          <w:p>
            <w:pPr>
              <w:spacing w:after="0"/>
            </w:pPr>
            <w:r/>
            <w:r>
              <w:rPr>
                <w:rFonts w:ascii="Aptos" w:hAnsi="Aptos"/>
                <w:b w:val="0"/>
                <w:sz w:val="15"/>
              </w:rPr>
              <w:t>Never commit the key or a rendered infrastructure file containing it.</w:t>
            </w:r>
          </w:p>
        </w:tc>
      </w:tr>
      <w:tr>
        <w:trPr>
          <w:cantSplit/>
        </w:trPr>
        <w:tc>
          <w:tcPr>
            <w:tcW w:type="dxa" w:w="2880"/>
            <w:vAlign w:val="center"/>
          </w:tcPr>
          <w:p>
            <w:pPr>
              <w:spacing w:after="0"/>
            </w:pPr>
            <w:r/>
            <w:r>
              <w:rPr>
                <w:rFonts w:ascii="Aptos" w:hAnsi="Aptos"/>
                <w:b w:val="0"/>
                <w:sz w:val="15"/>
              </w:rPr>
              <w:t>Rotation</w:t>
            </w:r>
          </w:p>
        </w:tc>
        <w:tc>
          <w:tcPr>
            <w:tcW w:type="dxa" w:w="7704"/>
            <w:vAlign w:val="center"/>
          </w:tcPr>
          <w:p>
            <w:pPr>
              <w:spacing w:after="0"/>
            </w:pPr>
            <w:r/>
            <w:r>
              <w:rPr>
                <w:rFonts w:ascii="Aptos" w:hAnsi="Aptos"/>
                <w:b w:val="0"/>
                <w:sz w:val="15"/>
              </w:rPr>
              <w:t>Treat it as rotatable infrastructure secret material.</w:t>
            </w:r>
          </w:p>
        </w:tc>
      </w:tr>
      <w:tr>
        <w:trPr>
          <w:cantSplit/>
        </w:trPr>
        <w:tc>
          <w:tcPr>
            <w:tcW w:type="dxa" w:w="2880"/>
            <w:vAlign w:val="center"/>
          </w:tcPr>
          <w:p>
            <w:pPr>
              <w:spacing w:after="0"/>
            </w:pPr>
            <w:r/>
            <w:r>
              <w:rPr>
                <w:rFonts w:ascii="Aptos" w:hAnsi="Aptos"/>
                <w:b w:val="0"/>
                <w:sz w:val="15"/>
              </w:rPr>
              <w:t>Policy blocker</w:t>
            </w:r>
          </w:p>
        </w:tc>
        <w:tc>
          <w:tcPr>
            <w:tcW w:type="dxa" w:w="7704"/>
            <w:vAlign w:val="center"/>
          </w:tcPr>
          <w:p>
            <w:pPr>
              <w:spacing w:after="0"/>
            </w:pPr>
            <w:r/>
            <w:r>
              <w:rPr>
                <w:rFonts w:ascii="Aptos" w:hAnsi="Aptos"/>
                <w:b w:val="0"/>
                <w:sz w:val="15"/>
              </w:rPr>
              <w:t>If organizational policy forbids shared-key Azure Files mounts, R3.6A must stop and reselect the persistence target; do not weaken policy.</w:t>
            </w:r>
          </w:p>
        </w:tc>
      </w:tr>
    </w:tbl>
    <w:p>
      <w:r>
        <w:br w:type="page"/>
      </w:r>
    </w:p>
    <w:p>
      <w:pPr>
        <w:pStyle w:val="Heading1"/>
      </w:pPr>
      <w:r>
        <w:t>6. Network and exposure contract</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vAlign w:val="center"/>
            <w:shd w:fill="D9E2F3"/>
          </w:tcPr>
          <w:p>
            <w:pPr>
              <w:spacing w:after="0"/>
            </w:pPr>
            <w:r/>
            <w:r>
              <w:rPr>
                <w:rFonts w:ascii="Aptos" w:hAnsi="Aptos"/>
                <w:b/>
                <w:sz w:val="15"/>
              </w:rPr>
              <w:t>Item</w:t>
            </w:r>
          </w:p>
        </w:tc>
        <w:tc>
          <w:tcPr>
            <w:tcW w:type="dxa" w:w="7560"/>
            <w:vAlign w:val="center"/>
            <w:shd w:fill="D9E2F3"/>
          </w:tcPr>
          <w:p>
            <w:pPr>
              <w:spacing w:after="0"/>
            </w:pPr>
            <w:r/>
            <w:r>
              <w:rPr>
                <w:rFonts w:ascii="Aptos" w:hAnsi="Aptos"/>
                <w:b/>
                <w:sz w:val="15"/>
              </w:rPr>
              <w:t>Baseline rule</w:t>
            </w:r>
          </w:p>
        </w:tc>
      </w:tr>
      <w:tr>
        <w:trPr>
          <w:cantSplit/>
        </w:trPr>
        <w:tc>
          <w:tcPr>
            <w:tcW w:type="dxa" w:w="3024"/>
            <w:vAlign w:val="center"/>
          </w:tcPr>
          <w:p>
            <w:pPr>
              <w:spacing w:after="0"/>
            </w:pPr>
            <w:r/>
            <w:r>
              <w:rPr>
                <w:rFonts w:ascii="Aptos" w:hAnsi="Aptos"/>
                <w:b w:val="0"/>
                <w:sz w:val="15"/>
              </w:rPr>
              <w:t>Public ingress</w:t>
            </w:r>
          </w:p>
        </w:tc>
        <w:tc>
          <w:tcPr>
            <w:tcW w:type="dxa" w:w="7560"/>
            <w:vAlign w:val="center"/>
          </w:tcPr>
          <w:p>
            <w:pPr>
              <w:spacing w:after="0"/>
            </w:pPr>
            <w:r/>
            <w:r>
              <w:rPr>
                <w:rFonts w:ascii="Aptos" w:hAnsi="Aptos"/>
                <w:b w:val="0"/>
                <w:sz w:val="15"/>
              </w:rPr>
              <w:t>None</w:t>
            </w:r>
          </w:p>
        </w:tc>
      </w:tr>
      <w:tr>
        <w:trPr>
          <w:cantSplit/>
        </w:trPr>
        <w:tc>
          <w:tcPr>
            <w:tcW w:type="dxa" w:w="3024"/>
            <w:vAlign w:val="center"/>
          </w:tcPr>
          <w:p>
            <w:pPr>
              <w:spacing w:after="0"/>
            </w:pPr>
            <w:r/>
            <w:r>
              <w:rPr>
                <w:rFonts w:ascii="Aptos" w:hAnsi="Aptos"/>
                <w:b w:val="0"/>
                <w:sz w:val="15"/>
              </w:rPr>
              <w:t>Inbound dependency</w:t>
            </w:r>
          </w:p>
        </w:tc>
        <w:tc>
          <w:tcPr>
            <w:tcW w:type="dxa" w:w="7560"/>
            <w:vAlign w:val="center"/>
          </w:tcPr>
          <w:p>
            <w:pPr>
              <w:spacing w:after="0"/>
            </w:pPr>
            <w:r/>
            <w:r>
              <w:rPr>
                <w:rFonts w:ascii="Aptos" w:hAnsi="Aptos"/>
                <w:b w:val="0"/>
                <w:sz w:val="15"/>
              </w:rPr>
              <w:t>None required by the Alarm Runtime baseline</w:t>
            </w:r>
          </w:p>
        </w:tc>
      </w:tr>
      <w:tr>
        <w:trPr>
          <w:cantSplit/>
        </w:trPr>
        <w:tc>
          <w:tcPr>
            <w:tcW w:type="dxa" w:w="3024"/>
            <w:vAlign w:val="center"/>
          </w:tcPr>
          <w:p>
            <w:pPr>
              <w:spacing w:after="0"/>
            </w:pPr>
            <w:r/>
            <w:r>
              <w:rPr>
                <w:rFonts w:ascii="Aptos" w:hAnsi="Aptos"/>
                <w:b w:val="0"/>
                <w:sz w:val="15"/>
              </w:rPr>
              <w:t>Outbound</w:t>
            </w:r>
          </w:p>
        </w:tc>
        <w:tc>
          <w:tcPr>
            <w:tcW w:type="dxa" w:w="7560"/>
            <w:vAlign w:val="center"/>
          </w:tcPr>
          <w:p>
            <w:pPr>
              <w:spacing w:after="0"/>
            </w:pPr>
            <w:r/>
            <w:r>
              <w:rPr>
                <w:rFonts w:ascii="Aptos" w:hAnsi="Aptos"/>
                <w:b w:val="0"/>
                <w:sz w:val="15"/>
              </w:rPr>
              <w:t>Only endpoints required by ACR, identity, Key Vault and approved Azure dependencies</w:t>
            </w:r>
          </w:p>
        </w:tc>
      </w:tr>
      <w:tr>
        <w:trPr>
          <w:cantSplit/>
        </w:trPr>
        <w:tc>
          <w:tcPr>
            <w:tcW w:type="dxa" w:w="3024"/>
            <w:vAlign w:val="center"/>
          </w:tcPr>
          <w:p>
            <w:pPr>
              <w:spacing w:after="0"/>
            </w:pPr>
            <w:r/>
            <w:r>
              <w:rPr>
                <w:rFonts w:ascii="Aptos" w:hAnsi="Aptos"/>
                <w:b w:val="0"/>
                <w:sz w:val="15"/>
              </w:rPr>
              <w:t>VNet</w:t>
            </w:r>
          </w:p>
        </w:tc>
        <w:tc>
          <w:tcPr>
            <w:tcW w:type="dxa" w:w="7560"/>
            <w:vAlign w:val="center"/>
          </w:tcPr>
          <w:p>
            <w:pPr>
              <w:spacing w:after="0"/>
            </w:pPr>
            <w:r/>
            <w:r>
              <w:rPr>
                <w:rFonts w:ascii="Aptos" w:hAnsi="Aptos"/>
                <w:b w:val="0"/>
                <w:sz w:val="15"/>
              </w:rPr>
              <w:t>Not mandatory for the first controlled parity run unless the target subscription/environment policy requires it</w:t>
            </w:r>
          </w:p>
        </w:tc>
      </w:tr>
      <w:tr>
        <w:trPr>
          <w:cantSplit/>
        </w:trPr>
        <w:tc>
          <w:tcPr>
            <w:tcW w:type="dxa" w:w="3024"/>
            <w:vAlign w:val="center"/>
          </w:tcPr>
          <w:p>
            <w:pPr>
              <w:spacing w:after="0"/>
            </w:pPr>
            <w:r/>
            <w:r>
              <w:rPr>
                <w:rFonts w:ascii="Aptos" w:hAnsi="Aptos"/>
                <w:b w:val="0"/>
                <w:sz w:val="15"/>
              </w:rPr>
              <w:t>Private endpoints</w:t>
            </w:r>
          </w:p>
        </w:tc>
        <w:tc>
          <w:tcPr>
            <w:tcW w:type="dxa" w:w="7560"/>
            <w:vAlign w:val="center"/>
          </w:tcPr>
          <w:p>
            <w:pPr>
              <w:spacing w:after="0"/>
            </w:pPr>
            <w:r/>
            <w:r>
              <w:rPr>
                <w:rFonts w:ascii="Aptos" w:hAnsi="Aptos"/>
                <w:b w:val="0"/>
                <w:sz w:val="15"/>
              </w:rPr>
              <w:t>Deferred until required by actual production source/network policy</w:t>
            </w:r>
          </w:p>
        </w:tc>
      </w:tr>
      <w:tr>
        <w:trPr>
          <w:cantSplit/>
        </w:trPr>
        <w:tc>
          <w:tcPr>
            <w:tcW w:type="dxa" w:w="3024"/>
            <w:vAlign w:val="center"/>
          </w:tcPr>
          <w:p>
            <w:pPr>
              <w:spacing w:after="0"/>
            </w:pPr>
            <w:r/>
            <w:r>
              <w:rPr>
                <w:rFonts w:ascii="Aptos" w:hAnsi="Aptos"/>
                <w:b w:val="0"/>
                <w:sz w:val="15"/>
              </w:rPr>
              <w:t>Source realism</w:t>
            </w:r>
          </w:p>
        </w:tc>
        <w:tc>
          <w:tcPr>
            <w:tcW w:type="dxa" w:w="7560"/>
            <w:vAlign w:val="center"/>
          </w:tcPr>
          <w:p>
            <w:pPr>
              <w:spacing w:after="0"/>
            </w:pPr>
            <w:r/>
            <w:r>
              <w:rPr>
                <w:rFonts w:ascii="Aptos" w:hAnsi="Aptos"/>
                <w:b w:val="0"/>
                <w:sz w:val="15"/>
              </w:rPr>
              <w:t>No PI/Cosmos/SQL/Service Bus production source is introduced merely to qualify deployment equivalence</w:t>
            </w:r>
          </w:p>
        </w:tc>
      </w:tr>
    </w:tbl>
    <w:p>
      <w:pPr>
        <w:pStyle w:val="Heading1"/>
      </w:pPr>
      <w:r>
        <w:t>7. Runtime lifecycle contract</w:t>
      </w:r>
    </w:p>
    <w:tbl>
      <w:tblPr>
        <w:tblStyle w:val="TableGrid"/>
        <w:tblW w:type="auto" w:w="0"/>
        <w:jc w:val="center"/>
        <w:tblLook w:firstColumn="1" w:firstRow="1" w:lastColumn="0" w:lastRow="0" w:noHBand="0" w:noVBand="1" w:val="04A0"/>
      </w:tblPr>
      <w:tblGrid>
        <w:gridCol w:w="5184"/>
        <w:gridCol w:w="5184"/>
      </w:tblGrid>
      <w:tr>
        <w:trPr>
          <w:cantSplit/>
        </w:trPr>
        <w:tc>
          <w:tcPr>
            <w:tcW w:type="dxa" w:w="3168"/>
            <w:vAlign w:val="center"/>
            <w:shd w:fill="D9E2F3"/>
          </w:tcPr>
          <w:p>
            <w:pPr>
              <w:spacing w:after="0"/>
            </w:pPr>
            <w:r/>
            <w:r>
              <w:rPr>
                <w:rFonts w:ascii="Aptos" w:hAnsi="Aptos"/>
                <w:b/>
                <w:sz w:val="15"/>
              </w:rPr>
              <w:t>Lifecycle concern</w:t>
            </w:r>
          </w:p>
        </w:tc>
        <w:tc>
          <w:tcPr>
            <w:tcW w:type="dxa" w:w="7416"/>
            <w:vAlign w:val="center"/>
            <w:shd w:fill="D9E2F3"/>
          </w:tcPr>
          <w:p>
            <w:pPr>
              <w:spacing w:after="0"/>
            </w:pPr>
            <w:r/>
            <w:r>
              <w:rPr>
                <w:rFonts w:ascii="Aptos" w:hAnsi="Aptos"/>
                <w:b/>
                <w:sz w:val="15"/>
              </w:rPr>
              <w:t>Frozen behavior</w:t>
            </w:r>
          </w:p>
        </w:tc>
      </w:tr>
      <w:tr>
        <w:trPr>
          <w:cantSplit/>
        </w:trPr>
        <w:tc>
          <w:tcPr>
            <w:tcW w:type="dxa" w:w="3168"/>
            <w:vAlign w:val="center"/>
          </w:tcPr>
          <w:p>
            <w:pPr>
              <w:spacing w:after="0"/>
            </w:pPr>
            <w:r/>
            <w:r>
              <w:rPr>
                <w:rFonts w:ascii="Aptos" w:hAnsi="Aptos"/>
                <w:b w:val="0"/>
                <w:sz w:val="15"/>
              </w:rPr>
              <w:t>Startup</w:t>
            </w:r>
          </w:p>
        </w:tc>
        <w:tc>
          <w:tcPr>
            <w:tcW w:type="dxa" w:w="7416"/>
            <w:vAlign w:val="center"/>
          </w:tcPr>
          <w:p>
            <w:pPr>
              <w:spacing w:after="0"/>
            </w:pPr>
            <w:r/>
            <w:r>
              <w:rPr>
                <w:rFonts w:ascii="Aptos" w:hAnsi="Aptos"/>
                <w:b w:val="0"/>
                <w:sz w:val="15"/>
              </w:rPr>
              <w:t>Container must reach running state without manual intervention and confirm the effective E2 resource contract.</w:t>
            </w:r>
          </w:p>
        </w:tc>
      </w:tr>
      <w:tr>
        <w:trPr>
          <w:cantSplit/>
        </w:trPr>
        <w:tc>
          <w:tcPr>
            <w:tcW w:type="dxa" w:w="3168"/>
            <w:vAlign w:val="center"/>
          </w:tcPr>
          <w:p>
            <w:pPr>
              <w:spacing w:after="0"/>
            </w:pPr>
            <w:r/>
            <w:r>
              <w:rPr>
                <w:rFonts w:ascii="Aptos" w:hAnsi="Aptos"/>
                <w:b w:val="0"/>
                <w:sz w:val="15"/>
              </w:rPr>
              <w:t>Steady state</w:t>
            </w:r>
          </w:p>
        </w:tc>
        <w:tc>
          <w:tcPr>
            <w:tcW w:type="dxa" w:w="7416"/>
            <w:vAlign w:val="center"/>
          </w:tcPr>
          <w:p>
            <w:pPr>
              <w:spacing w:after="0"/>
            </w:pPr>
            <w:r/>
            <w:r>
              <w:rPr>
                <w:rFonts w:ascii="Aptos" w:hAnsi="Aptos"/>
                <w:b w:val="0"/>
                <w:sz w:val="15"/>
              </w:rPr>
              <w:t>Preserve the 5-second candidate cadence used by the R3.5 qualified workload.</w:t>
            </w:r>
          </w:p>
        </w:tc>
      </w:tr>
      <w:tr>
        <w:trPr>
          <w:cantSplit/>
        </w:trPr>
        <w:tc>
          <w:tcPr>
            <w:tcW w:type="dxa" w:w="3168"/>
            <w:vAlign w:val="center"/>
          </w:tcPr>
          <w:p>
            <w:pPr>
              <w:spacing w:after="0"/>
            </w:pPr>
            <w:r/>
            <w:r>
              <w:rPr>
                <w:rFonts w:ascii="Aptos" w:hAnsi="Aptos"/>
                <w:b w:val="0"/>
                <w:sz w:val="15"/>
              </w:rPr>
              <w:t>Shutdown</w:t>
            </w:r>
          </w:p>
        </w:tc>
        <w:tc>
          <w:tcPr>
            <w:tcW w:type="dxa" w:w="7416"/>
            <w:vAlign w:val="center"/>
          </w:tcPr>
          <w:p>
            <w:pPr>
              <w:spacing w:after="0"/>
            </w:pPr>
            <w:r/>
            <w:r>
              <w:rPr>
                <w:rFonts w:ascii="Aptos" w:hAnsi="Aptos"/>
                <w:b w:val="0"/>
                <w:sz w:val="15"/>
              </w:rPr>
              <w:t>Use the runtime's natural drain semantics; no new work may be committed after the stop boundary.</w:t>
            </w:r>
          </w:p>
        </w:tc>
      </w:tr>
      <w:tr>
        <w:trPr>
          <w:cantSplit/>
        </w:trPr>
        <w:tc>
          <w:tcPr>
            <w:tcW w:type="dxa" w:w="3168"/>
            <w:vAlign w:val="center"/>
          </w:tcPr>
          <w:p>
            <w:pPr>
              <w:spacing w:after="0"/>
            </w:pPr>
            <w:r/>
            <w:r>
              <w:rPr>
                <w:rFonts w:ascii="Aptos" w:hAnsi="Aptos"/>
                <w:b w:val="0"/>
                <w:sz w:val="15"/>
              </w:rPr>
              <w:t>Restart</w:t>
            </w:r>
          </w:p>
        </w:tc>
        <w:tc>
          <w:tcPr>
            <w:tcW w:type="dxa" w:w="7416"/>
            <w:vAlign w:val="center"/>
          </w:tcPr>
          <w:p>
            <w:pPr>
              <w:spacing w:after="0"/>
            </w:pPr>
            <w:r/>
            <w:r>
              <w:rPr>
                <w:rFonts w:ascii="Aptos" w:hAnsi="Aptos"/>
                <w:b w:val="0"/>
                <w:sz w:val="15"/>
              </w:rPr>
              <w:t>A later R3.6 test must prove restart/recovery from persistent Azure state.</w:t>
            </w:r>
          </w:p>
        </w:tc>
      </w:tr>
      <w:tr>
        <w:trPr>
          <w:cantSplit/>
        </w:trPr>
        <w:tc>
          <w:tcPr>
            <w:tcW w:type="dxa" w:w="3168"/>
            <w:vAlign w:val="center"/>
          </w:tcPr>
          <w:p>
            <w:pPr>
              <w:spacing w:after="0"/>
            </w:pPr>
            <w:r/>
            <w:r>
              <w:rPr>
                <w:rFonts w:ascii="Aptos" w:hAnsi="Aptos"/>
                <w:b w:val="0"/>
                <w:sz w:val="15"/>
              </w:rPr>
              <w:t>Health probes</w:t>
            </w:r>
          </w:p>
        </w:tc>
        <w:tc>
          <w:tcPr>
            <w:tcW w:type="dxa" w:w="7416"/>
            <w:vAlign w:val="center"/>
          </w:tcPr>
          <w:p>
            <w:pPr>
              <w:spacing w:after="0"/>
            </w:pPr>
            <w:r/>
            <w:r>
              <w:rPr>
                <w:rFonts w:ascii="Aptos" w:hAnsi="Aptos"/>
                <w:b w:val="0"/>
                <w:sz w:val="15"/>
              </w:rPr>
              <w:t>Do not add a product HTTP/TCP endpoint solely for A-001. Probe integration is allowed later only if an existing product contract supports it or a separate contract approves it.</w:t>
            </w:r>
          </w:p>
        </w:tc>
      </w:tr>
      <w:tr>
        <w:trPr>
          <w:cantSplit/>
        </w:trPr>
        <w:tc>
          <w:tcPr>
            <w:tcW w:type="dxa" w:w="3168"/>
            <w:vAlign w:val="center"/>
          </w:tcPr>
          <w:p>
            <w:pPr>
              <w:spacing w:after="0"/>
            </w:pPr>
            <w:r/>
            <w:r>
              <w:rPr>
                <w:rFonts w:ascii="Aptos" w:hAnsi="Aptos"/>
                <w:b w:val="0"/>
                <w:sz w:val="15"/>
              </w:rPr>
              <w:t>Replica replacement</w:t>
            </w:r>
          </w:p>
        </w:tc>
        <w:tc>
          <w:tcPr>
            <w:tcW w:type="dxa" w:w="7416"/>
            <w:vAlign w:val="center"/>
          </w:tcPr>
          <w:p>
            <w:pPr>
              <w:spacing w:after="0"/>
            </w:pPr>
            <w:r/>
            <w:r>
              <w:rPr>
                <w:rFonts w:ascii="Aptos" w:hAnsi="Aptos"/>
                <w:b w:val="0"/>
                <w:sz w:val="15"/>
              </w:rPr>
              <w:t>Platform replacement must not silently create an unsupported concurrent-writer scenario during the single-replica baseline.</w:t>
            </w:r>
          </w:p>
        </w:tc>
      </w:tr>
    </w:tbl>
    <w:p>
      <w:pPr>
        <w:pStyle w:val="Heading1"/>
      </w:pPr>
      <w:r>
        <w:t>8. Observability contract</w:t>
      </w:r>
    </w:p>
    <w:tbl>
      <w:tblPr>
        <w:tblStyle w:val="TableGrid"/>
        <w:tblW w:type="auto" w:w="0"/>
        <w:jc w:val="center"/>
        <w:tblLook w:firstColumn="1" w:firstRow="1" w:lastColumn="0" w:lastRow="0" w:noHBand="0" w:noVBand="1" w:val="04A0"/>
      </w:tblPr>
      <w:tblGrid>
        <w:gridCol w:w="5184"/>
        <w:gridCol w:w="5184"/>
      </w:tblGrid>
      <w:tr>
        <w:trPr>
          <w:cantSplit/>
        </w:trPr>
        <w:tc>
          <w:tcPr>
            <w:tcW w:type="dxa" w:w="3168"/>
            <w:vAlign w:val="center"/>
            <w:shd w:fill="D9E2F3"/>
          </w:tcPr>
          <w:p>
            <w:pPr>
              <w:spacing w:after="0"/>
            </w:pPr>
            <w:r/>
            <w:r>
              <w:rPr>
                <w:rFonts w:ascii="Aptos" w:hAnsi="Aptos"/>
                <w:b/>
                <w:sz w:val="15"/>
              </w:rPr>
              <w:t>Channel</w:t>
            </w:r>
          </w:p>
        </w:tc>
        <w:tc>
          <w:tcPr>
            <w:tcW w:type="dxa" w:w="7416"/>
            <w:vAlign w:val="center"/>
            <w:shd w:fill="D9E2F3"/>
          </w:tcPr>
          <w:p>
            <w:pPr>
              <w:spacing w:after="0"/>
            </w:pPr>
            <w:r/>
            <w:r>
              <w:rPr>
                <w:rFonts w:ascii="Aptos" w:hAnsi="Aptos"/>
                <w:b/>
                <w:sz w:val="15"/>
              </w:rPr>
              <w:t>Frozen behavior</w:t>
            </w:r>
          </w:p>
        </w:tc>
      </w:tr>
      <w:tr>
        <w:trPr>
          <w:cantSplit/>
        </w:trPr>
        <w:tc>
          <w:tcPr>
            <w:tcW w:type="dxa" w:w="3168"/>
            <w:vAlign w:val="center"/>
          </w:tcPr>
          <w:p>
            <w:pPr>
              <w:spacing w:after="0"/>
            </w:pPr>
            <w:r/>
            <w:r>
              <w:rPr>
                <w:rFonts w:ascii="Aptos" w:hAnsi="Aptos"/>
                <w:b w:val="0"/>
                <w:sz w:val="15"/>
              </w:rPr>
              <w:t>Local/runtime logs</w:t>
            </w:r>
          </w:p>
        </w:tc>
        <w:tc>
          <w:tcPr>
            <w:tcW w:type="dxa" w:w="7416"/>
            <w:vAlign w:val="center"/>
          </w:tcPr>
          <w:p>
            <w:pPr>
              <w:spacing w:after="0"/>
            </w:pPr>
            <w:r/>
            <w:r>
              <w:rPr>
                <w:rFonts w:ascii="Aptos" w:hAnsi="Aptos"/>
                <w:b w:val="0"/>
                <w:sz w:val="15"/>
              </w:rPr>
              <w:t>Keep existing enriched local logging behavior.</w:t>
            </w:r>
          </w:p>
        </w:tc>
      </w:tr>
      <w:tr>
        <w:trPr>
          <w:cantSplit/>
        </w:trPr>
        <w:tc>
          <w:tcPr>
            <w:tcW w:type="dxa" w:w="3168"/>
            <w:vAlign w:val="center"/>
          </w:tcPr>
          <w:p>
            <w:pPr>
              <w:spacing w:after="0"/>
            </w:pPr>
            <w:r/>
            <w:r>
              <w:rPr>
                <w:rFonts w:ascii="Aptos" w:hAnsi="Aptos"/>
                <w:b w:val="0"/>
                <w:sz w:val="15"/>
              </w:rPr>
              <w:t>Azure telemetry</w:t>
            </w:r>
          </w:p>
        </w:tc>
        <w:tc>
          <w:tcPr>
            <w:tcW w:type="dxa" w:w="7416"/>
            <w:vAlign w:val="center"/>
          </w:tcPr>
          <w:p>
            <w:pPr>
              <w:spacing w:after="0"/>
            </w:pPr>
            <w:r/>
            <w:r>
              <w:rPr>
                <w:rFonts w:ascii="Aptos" w:hAnsi="Aptos"/>
                <w:b w:val="0"/>
                <w:sz w:val="15"/>
              </w:rPr>
              <w:t>Remain logically separate from local logs.</w:t>
            </w:r>
          </w:p>
        </w:tc>
      </w:tr>
      <w:tr>
        <w:trPr>
          <w:cantSplit/>
        </w:trPr>
        <w:tc>
          <w:tcPr>
            <w:tcW w:type="dxa" w:w="3168"/>
            <w:vAlign w:val="center"/>
          </w:tcPr>
          <w:p>
            <w:pPr>
              <w:spacing w:after="0"/>
            </w:pPr>
            <w:r/>
            <w:r>
              <w:rPr>
                <w:rFonts w:ascii="Aptos" w:hAnsi="Aptos"/>
                <w:b w:val="0"/>
                <w:sz w:val="15"/>
              </w:rPr>
              <w:t>Remote product export</w:t>
            </w:r>
          </w:p>
        </w:tc>
        <w:tc>
          <w:tcPr>
            <w:tcW w:type="dxa" w:w="7416"/>
            <w:vAlign w:val="center"/>
          </w:tcPr>
          <w:p>
            <w:pPr>
              <w:spacing w:after="0"/>
            </w:pPr>
            <w:r/>
            <w:r>
              <w:rPr>
                <w:rFonts w:ascii="Aptos" w:hAnsi="Aptos"/>
                <w:b w:val="0"/>
                <w:sz w:val="15"/>
              </w:rPr>
              <w:t>Preserve selective WARNING / ERROR / CRITICAL policy unless another contract changes it.</w:t>
            </w:r>
          </w:p>
        </w:tc>
      </w:tr>
      <w:tr>
        <w:trPr>
          <w:cantSplit/>
        </w:trPr>
        <w:tc>
          <w:tcPr>
            <w:tcW w:type="dxa" w:w="3168"/>
            <w:vAlign w:val="center"/>
          </w:tcPr>
          <w:p>
            <w:pPr>
              <w:spacing w:after="0"/>
            </w:pPr>
            <w:r/>
            <w:r>
              <w:rPr>
                <w:rFonts w:ascii="Aptos" w:hAnsi="Aptos"/>
                <w:b w:val="0"/>
                <w:sz w:val="15"/>
              </w:rPr>
              <w:t>Platform diagnostics</w:t>
            </w:r>
          </w:p>
        </w:tc>
        <w:tc>
          <w:tcPr>
            <w:tcW w:type="dxa" w:w="7416"/>
            <w:vAlign w:val="center"/>
          </w:tcPr>
          <w:p>
            <w:pPr>
              <w:spacing w:after="0"/>
            </w:pPr>
            <w:r/>
            <w:r>
              <w:rPr>
                <w:rFonts w:ascii="Aptos" w:hAnsi="Aptos"/>
                <w:b w:val="0"/>
                <w:sz w:val="15"/>
              </w:rPr>
              <w:t>ACA/platform logs may be collected independently for deployment evidence.</w:t>
            </w:r>
          </w:p>
        </w:tc>
      </w:tr>
      <w:tr>
        <w:trPr>
          <w:cantSplit/>
        </w:trPr>
        <w:tc>
          <w:tcPr>
            <w:tcW w:type="dxa" w:w="3168"/>
            <w:vAlign w:val="center"/>
          </w:tcPr>
          <w:p>
            <w:pPr>
              <w:spacing w:after="0"/>
            </w:pPr>
            <w:r/>
            <w:r>
              <w:rPr>
                <w:rFonts w:ascii="Aptos" w:hAnsi="Aptos"/>
                <w:b w:val="0"/>
                <w:sz w:val="15"/>
              </w:rPr>
              <w:t>Secrets</w:t>
            </w:r>
          </w:p>
        </w:tc>
        <w:tc>
          <w:tcPr>
            <w:tcW w:type="dxa" w:w="7416"/>
            <w:vAlign w:val="center"/>
          </w:tcPr>
          <w:p>
            <w:pPr>
              <w:spacing w:after="0"/>
            </w:pPr>
            <w:r/>
            <w:r>
              <w:rPr>
                <w:rFonts w:ascii="Aptos" w:hAnsi="Aptos"/>
                <w:b w:val="0"/>
                <w:sz w:val="15"/>
              </w:rPr>
              <w:t>Redaction requirements remain mandatory across both product and platform-facing evidence.</w:t>
            </w:r>
          </w:p>
        </w:tc>
      </w:tr>
      <w:tr>
        <w:trPr>
          <w:cantSplit/>
        </w:trPr>
        <w:tc>
          <w:tcPr>
            <w:tcW w:type="dxa" w:w="3168"/>
            <w:vAlign w:val="center"/>
          </w:tcPr>
          <w:p>
            <w:pPr>
              <w:spacing w:after="0"/>
            </w:pPr>
            <w:r/>
            <w:r>
              <w:rPr>
                <w:rFonts w:ascii="Aptos" w:hAnsi="Aptos"/>
                <w:b w:val="0"/>
                <w:sz w:val="15"/>
              </w:rPr>
              <w:t>Qualification metrics</w:t>
            </w:r>
          </w:p>
        </w:tc>
        <w:tc>
          <w:tcPr>
            <w:tcW w:type="dxa" w:w="7416"/>
            <w:vAlign w:val="center"/>
          </w:tcPr>
          <w:p>
            <w:pPr>
              <w:spacing w:after="0"/>
            </w:pPr>
            <w:r/>
            <w:r>
              <w:rPr>
                <w:rFonts w:ascii="Aptos" w:hAnsi="Aptos"/>
                <w:b w:val="0"/>
                <w:sz w:val="15"/>
              </w:rPr>
              <w:t>Capture resource assignment, replica lifecycle, startup, cadence, CPU/memory, restart/drain and durable integrity.</w:t>
            </w:r>
          </w:p>
        </w:tc>
      </w:tr>
    </w:tbl>
    <w:p>
      <w:pPr>
        <w:pStyle w:val="Heading1"/>
      </w:pPr>
      <w:r>
        <w:t>9. Cost and operational guardrails</w:t>
      </w:r>
    </w:p>
    <w:p>
      <w:r>
        <w:t>The qualification environment is intentionally minimal: one replica, E2 resources, no autoscale, no unnecessary sidecars and no unrelated integrations. Test resources should be isolated and removable after evidence capture. R3.6 must not introduce standing Azure cost merely to mirror capabilities already proven locally.</w:t>
      </w:r>
    </w:p>
    <w:p>
      <w:r>
        <w:br w:type="page"/>
      </w:r>
    </w:p>
    <w:p>
      <w:pPr>
        <w:pStyle w:val="Heading1"/>
      </w:pPr>
      <w:r>
        <w:t>10. Qualification sequence after acceptance</w:t>
      </w:r>
    </w:p>
    <w:tbl>
      <w:tblPr>
        <w:tblStyle w:val="TableGrid"/>
        <w:tblW w:type="auto" w:w="0"/>
        <w:jc w:val="center"/>
        <w:tblLook w:firstColumn="1" w:firstRow="1" w:lastColumn="0" w:lastRow="0" w:noHBand="0" w:noVBand="1" w:val="04A0"/>
      </w:tblPr>
      <w:tblGrid>
        <w:gridCol w:w="5184"/>
        <w:gridCol w:w="5184"/>
      </w:tblGrid>
      <w:tr>
        <w:trPr>
          <w:cantSplit/>
        </w:trPr>
        <w:tc>
          <w:tcPr>
            <w:tcW w:type="dxa" w:w="2592"/>
            <w:vAlign w:val="center"/>
            <w:shd w:fill="D9E2F3"/>
          </w:tcPr>
          <w:p>
            <w:pPr>
              <w:spacing w:after="0"/>
            </w:pPr>
            <w:r/>
            <w:r>
              <w:rPr>
                <w:rFonts w:ascii="Aptos" w:hAnsi="Aptos"/>
                <w:b/>
                <w:sz w:val="15"/>
              </w:rPr>
              <w:t>Next increment</w:t>
            </w:r>
          </w:p>
        </w:tc>
        <w:tc>
          <w:tcPr>
            <w:tcW w:type="dxa" w:w="7992"/>
            <w:vAlign w:val="center"/>
            <w:shd w:fill="D9E2F3"/>
          </w:tcPr>
          <w:p>
            <w:pPr>
              <w:spacing w:after="0"/>
            </w:pPr>
            <w:r/>
            <w:r>
              <w:rPr>
                <w:rFonts w:ascii="Aptos" w:hAnsi="Aptos"/>
                <w:b/>
                <w:sz w:val="15"/>
              </w:rPr>
              <w:t>Scope</w:t>
            </w:r>
          </w:p>
        </w:tc>
      </w:tr>
      <w:tr>
        <w:trPr>
          <w:cantSplit/>
        </w:trPr>
        <w:tc>
          <w:tcPr>
            <w:tcW w:type="dxa" w:w="2592"/>
            <w:vAlign w:val="center"/>
          </w:tcPr>
          <w:p>
            <w:pPr>
              <w:spacing w:after="0"/>
            </w:pPr>
            <w:r/>
            <w:r>
              <w:rPr>
                <w:rFonts w:ascii="Aptos" w:hAnsi="Aptos"/>
                <w:b w:val="0"/>
                <w:sz w:val="15"/>
              </w:rPr>
              <w:t>R3.6A-002</w:t>
            </w:r>
          </w:p>
        </w:tc>
        <w:tc>
          <w:tcPr>
            <w:tcW w:type="dxa" w:w="7992"/>
            <w:vAlign w:val="center"/>
          </w:tcPr>
          <w:p>
            <w:pPr>
              <w:spacing w:after="0"/>
            </w:pPr>
            <w:r/>
            <w:r>
              <w:rPr>
                <w:rFonts w:ascii="Aptos" w:hAnsi="Aptos"/>
                <w:b w:val="0"/>
                <w:sz w:val="15"/>
              </w:rPr>
              <w:t>Azure composition + Bicep + deployment harness + smoke only. Create ACA/ACR/identity/storage bindings and prove resource/mount/image startup contracts.</w:t>
            </w:r>
          </w:p>
        </w:tc>
      </w:tr>
      <w:tr>
        <w:trPr>
          <w:cantSplit/>
        </w:trPr>
        <w:tc>
          <w:tcPr>
            <w:tcW w:type="dxa" w:w="2592"/>
            <w:vAlign w:val="center"/>
          </w:tcPr>
          <w:p>
            <w:pPr>
              <w:spacing w:after="0"/>
            </w:pPr>
            <w:r/>
            <w:r>
              <w:rPr>
                <w:rFonts w:ascii="Aptos" w:hAnsi="Aptos"/>
                <w:b w:val="0"/>
                <w:sz w:val="15"/>
              </w:rPr>
              <w:t>R3.6A-003</w:t>
            </w:r>
          </w:p>
        </w:tc>
        <w:tc>
          <w:tcPr>
            <w:tcW w:type="dxa" w:w="7992"/>
            <w:vAlign w:val="center"/>
          </w:tcPr>
          <w:p>
            <w:pPr>
              <w:spacing w:after="0"/>
            </w:pPr>
            <w:r/>
            <w:r>
              <w:rPr>
                <w:rFonts w:ascii="Aptos" w:hAnsi="Aptos"/>
                <w:b w:val="0"/>
                <w:sz w:val="15"/>
              </w:rPr>
              <w:t>Azure parity qualification: replay the accepted F-010 integrated workload at E2 for 30 minutes; compare cadence/integrity against the Docker baseline.</w:t>
            </w:r>
          </w:p>
        </w:tc>
      </w:tr>
      <w:tr>
        <w:trPr>
          <w:cantSplit/>
        </w:trPr>
        <w:tc>
          <w:tcPr>
            <w:tcW w:type="dxa" w:w="2592"/>
            <w:vAlign w:val="center"/>
          </w:tcPr>
          <w:p>
            <w:pPr>
              <w:spacing w:after="0"/>
            </w:pPr>
            <w:r/>
            <w:r>
              <w:rPr>
                <w:rFonts w:ascii="Aptos" w:hAnsi="Aptos"/>
                <w:b w:val="0"/>
                <w:sz w:val="15"/>
              </w:rPr>
              <w:t>R3.6A-004</w:t>
            </w:r>
          </w:p>
        </w:tc>
        <w:tc>
          <w:tcPr>
            <w:tcW w:type="dxa" w:w="7992"/>
            <w:vAlign w:val="center"/>
          </w:tcPr>
          <w:p>
            <w:pPr>
              <w:spacing w:after="0"/>
            </w:pPr>
            <w:r/>
            <w:r>
              <w:rPr>
                <w:rFonts w:ascii="Aptos" w:hAnsi="Aptos"/>
                <w:b w:val="0"/>
                <w:sz w:val="15"/>
              </w:rPr>
              <w:t>Restart/recovery qualification on persistent Azure state; prove natural recovery and durable/materialized alignment after controlled replica restart.</w:t>
            </w:r>
          </w:p>
        </w:tc>
      </w:tr>
      <w:tr>
        <w:trPr>
          <w:cantSplit/>
        </w:trPr>
        <w:tc>
          <w:tcPr>
            <w:tcW w:type="dxa" w:w="2592"/>
            <w:vAlign w:val="center"/>
          </w:tcPr>
          <w:p>
            <w:pPr>
              <w:spacing w:after="0"/>
            </w:pPr>
            <w:r/>
            <w:r>
              <w:rPr>
                <w:rFonts w:ascii="Aptos" w:hAnsi="Aptos"/>
                <w:b w:val="0"/>
                <w:sz w:val="15"/>
              </w:rPr>
              <w:t>R3.6A-005</w:t>
            </w:r>
          </w:p>
        </w:tc>
        <w:tc>
          <w:tcPr>
            <w:tcW w:type="dxa" w:w="7992"/>
            <w:vAlign w:val="center"/>
          </w:tcPr>
          <w:p>
            <w:pPr>
              <w:spacing w:after="0"/>
            </w:pPr>
            <w:r/>
            <w:r>
              <w:rPr>
                <w:rFonts w:ascii="Aptos" w:hAnsi="Aptos"/>
                <w:b w:val="0"/>
                <w:sz w:val="15"/>
              </w:rPr>
              <w:t>Only if required: network/private-endpoint production-equivalence qualification.</w:t>
            </w:r>
          </w:p>
        </w:tc>
      </w:tr>
    </w:tbl>
    <w:p>
      <w:pPr>
        <w:pStyle w:val="Heading1"/>
      </w:pPr>
      <w:r>
        <w:t>11. A-002 implementation boundary</w:t>
      </w:r>
    </w:p>
    <w:tbl>
      <w:tblPr>
        <w:tblStyle w:val="TableGrid"/>
        <w:tblW w:type="auto" w:w="0"/>
        <w:jc w:val="center"/>
        <w:tblLook w:firstColumn="1" w:firstRow="1" w:lastColumn="0" w:lastRow="0" w:noHBand="0" w:noVBand="1" w:val="04A0"/>
      </w:tblPr>
      <w:tblGrid>
        <w:gridCol w:w="5184"/>
        <w:gridCol w:w="5184"/>
      </w:tblGrid>
      <w:tr>
        <w:trPr>
          <w:cantSplit/>
        </w:trPr>
        <w:tc>
          <w:tcPr>
            <w:tcW w:type="dxa" w:w="5256"/>
            <w:vAlign w:val="center"/>
            <w:shd w:fill="D9E2F3"/>
          </w:tcPr>
          <w:p>
            <w:pPr>
              <w:spacing w:after="0"/>
            </w:pPr>
            <w:r/>
            <w:r>
              <w:rPr>
                <w:rFonts w:ascii="Aptos" w:hAnsi="Aptos"/>
                <w:b/>
                <w:sz w:val="15"/>
              </w:rPr>
              <w:t>Allowed after A-001 acceptance</w:t>
            </w:r>
          </w:p>
        </w:tc>
        <w:tc>
          <w:tcPr>
            <w:tcW w:type="dxa" w:w="5328"/>
            <w:vAlign w:val="center"/>
            <w:shd w:fill="D9E2F3"/>
          </w:tcPr>
          <w:p>
            <w:pPr>
              <w:spacing w:after="0"/>
            </w:pPr>
            <w:r/>
            <w:r>
              <w:rPr>
                <w:rFonts w:ascii="Aptos" w:hAnsi="Aptos"/>
                <w:b/>
                <w:sz w:val="15"/>
              </w:rPr>
              <w:t>Not allowed</w:t>
            </w:r>
          </w:p>
        </w:tc>
      </w:tr>
      <w:tr>
        <w:trPr>
          <w:cantSplit/>
        </w:trPr>
        <w:tc>
          <w:tcPr>
            <w:tcW w:type="dxa" w:w="5256"/>
            <w:vAlign w:val="center"/>
          </w:tcPr>
          <w:p>
            <w:pPr>
              <w:spacing w:after="0"/>
            </w:pPr>
            <w:r/>
            <w:r>
              <w:rPr>
                <w:rFonts w:ascii="Aptos" w:hAnsi="Aptos"/>
                <w:b w:val="0"/>
                <w:sz w:val="15"/>
              </w:rPr>
              <w:t>Bicep/IaC for a dedicated qualification environment</w:t>
            </w:r>
          </w:p>
        </w:tc>
        <w:tc>
          <w:tcPr>
            <w:tcW w:type="dxa" w:w="5328"/>
            <w:vAlign w:val="center"/>
          </w:tcPr>
          <w:p>
            <w:pPr>
              <w:spacing w:after="0"/>
            </w:pPr>
            <w:r/>
            <w:r>
              <w:rPr>
                <w:rFonts w:ascii="Aptos" w:hAnsi="Aptos"/>
                <w:b w:val="0"/>
                <w:sz w:val="15"/>
              </w:rPr>
              <w:t>Alarm Core behavior changes</w:t>
            </w:r>
          </w:p>
        </w:tc>
      </w:tr>
      <w:tr>
        <w:trPr>
          <w:cantSplit/>
        </w:trPr>
        <w:tc>
          <w:tcPr>
            <w:tcW w:type="dxa" w:w="5256"/>
            <w:vAlign w:val="center"/>
          </w:tcPr>
          <w:p>
            <w:pPr>
              <w:spacing w:after="0"/>
            </w:pPr>
            <w:r/>
            <w:r>
              <w:rPr>
                <w:rFonts w:ascii="Aptos" w:hAnsi="Aptos"/>
                <w:b w:val="0"/>
                <w:sz w:val="15"/>
              </w:rPr>
              <w:t>ACA composition for exactly 1 CPU / 2 GiB</w:t>
            </w:r>
          </w:p>
        </w:tc>
        <w:tc>
          <w:tcPr>
            <w:tcW w:type="dxa" w:w="5328"/>
            <w:vAlign w:val="center"/>
          </w:tcPr>
          <w:p>
            <w:pPr>
              <w:spacing w:after="0"/>
            </w:pPr>
            <w:r/>
            <w:r>
              <w:rPr>
                <w:rFonts w:ascii="Aptos" w:hAnsi="Aptos"/>
                <w:b w:val="0"/>
                <w:sz w:val="15"/>
              </w:rPr>
              <w:t>Persistence semantic changes</w:t>
            </w:r>
          </w:p>
        </w:tc>
      </w:tr>
      <w:tr>
        <w:trPr>
          <w:cantSplit/>
        </w:trPr>
        <w:tc>
          <w:tcPr>
            <w:tcW w:type="dxa" w:w="5256"/>
            <w:vAlign w:val="center"/>
          </w:tcPr>
          <w:p>
            <w:pPr>
              <w:spacing w:after="0"/>
            </w:pPr>
            <w:r/>
            <w:r>
              <w:rPr>
                <w:rFonts w:ascii="Aptos" w:hAnsi="Aptos"/>
                <w:b w:val="0"/>
                <w:sz w:val="15"/>
              </w:rPr>
              <w:t>ACR + Managed Identity bindings</w:t>
            </w:r>
          </w:p>
        </w:tc>
        <w:tc>
          <w:tcPr>
            <w:tcW w:type="dxa" w:w="5328"/>
            <w:vAlign w:val="center"/>
          </w:tcPr>
          <w:p>
            <w:pPr>
              <w:spacing w:after="0"/>
            </w:pPr>
            <w:r/>
            <w:r>
              <w:rPr>
                <w:rFonts w:ascii="Aptos" w:hAnsi="Aptos"/>
                <w:b w:val="0"/>
                <w:sz w:val="15"/>
              </w:rPr>
              <w:t>Job Runtime refactor</w:t>
            </w:r>
          </w:p>
        </w:tc>
      </w:tr>
      <w:tr>
        <w:trPr>
          <w:cantSplit/>
        </w:trPr>
        <w:tc>
          <w:tcPr>
            <w:tcW w:type="dxa" w:w="5256"/>
            <w:vAlign w:val="center"/>
          </w:tcPr>
          <w:p>
            <w:pPr>
              <w:spacing w:after="0"/>
            </w:pPr>
            <w:r/>
            <w:r>
              <w:rPr>
                <w:rFonts w:ascii="Aptos" w:hAnsi="Aptos"/>
                <w:b w:val="0"/>
                <w:sz w:val="15"/>
              </w:rPr>
              <w:t>Key Vault references / secure deployment parameters</w:t>
            </w:r>
          </w:p>
        </w:tc>
        <w:tc>
          <w:tcPr>
            <w:tcW w:type="dxa" w:w="5328"/>
            <w:vAlign w:val="center"/>
          </w:tcPr>
          <w:p>
            <w:pPr>
              <w:spacing w:after="0"/>
            </w:pPr>
            <w:r/>
            <w:r>
              <w:rPr>
                <w:rFonts w:ascii="Aptos" w:hAnsi="Aptos"/>
                <w:b w:val="0"/>
                <w:sz w:val="15"/>
              </w:rPr>
              <w:t>General autoscaling</w:t>
            </w:r>
          </w:p>
        </w:tc>
      </w:tr>
      <w:tr>
        <w:trPr>
          <w:cantSplit/>
        </w:trPr>
        <w:tc>
          <w:tcPr>
            <w:tcW w:type="dxa" w:w="5256"/>
            <w:vAlign w:val="center"/>
          </w:tcPr>
          <w:p>
            <w:pPr>
              <w:spacing w:after="0"/>
            </w:pPr>
            <w:r/>
            <w:r>
              <w:rPr>
                <w:rFonts w:ascii="Aptos" w:hAnsi="Aptos"/>
                <w:b w:val="0"/>
                <w:sz w:val="15"/>
              </w:rPr>
              <w:t>Azure Files RW durable mount + RO bank mount</w:t>
            </w:r>
          </w:p>
        </w:tc>
        <w:tc>
          <w:tcPr>
            <w:tcW w:type="dxa" w:w="5328"/>
            <w:vAlign w:val="center"/>
          </w:tcPr>
          <w:p>
            <w:pPr>
              <w:spacing w:after="0"/>
            </w:pPr>
            <w:r/>
            <w:r>
              <w:rPr>
                <w:rFonts w:ascii="Aptos" w:hAnsi="Aptos"/>
                <w:b w:val="0"/>
                <w:sz w:val="15"/>
              </w:rPr>
              <w:t>Multi-replica execution</w:t>
            </w:r>
          </w:p>
        </w:tc>
      </w:tr>
      <w:tr>
        <w:trPr>
          <w:cantSplit/>
        </w:trPr>
        <w:tc>
          <w:tcPr>
            <w:tcW w:type="dxa" w:w="5256"/>
            <w:vAlign w:val="center"/>
          </w:tcPr>
          <w:p>
            <w:pPr>
              <w:spacing w:after="0"/>
            </w:pPr>
            <w:r/>
            <w:r>
              <w:rPr>
                <w:rFonts w:ascii="Aptos" w:hAnsi="Aptos"/>
                <w:b w:val="0"/>
                <w:sz w:val="15"/>
              </w:rPr>
              <w:t>Small deployment/smoke harness and tests</w:t>
            </w:r>
          </w:p>
        </w:tc>
        <w:tc>
          <w:tcPr>
            <w:tcW w:type="dxa" w:w="5328"/>
            <w:vAlign w:val="center"/>
          </w:tcPr>
          <w:p>
            <w:pPr>
              <w:spacing w:after="0"/>
            </w:pPr>
            <w:r/>
            <w:r>
              <w:rPr>
                <w:rFonts w:ascii="Aptos" w:hAnsi="Aptos"/>
                <w:b w:val="0"/>
                <w:sz w:val="15"/>
              </w:rPr>
              <w:t>Production PI/Cosmos/SQL/Service Bus pressure</w:t>
            </w:r>
          </w:p>
        </w:tc>
      </w:tr>
      <w:tr>
        <w:trPr>
          <w:cantSplit/>
        </w:trPr>
        <w:tc>
          <w:tcPr>
            <w:tcW w:type="dxa" w:w="5256"/>
            <w:vAlign w:val="center"/>
          </w:tcPr>
          <w:p>
            <w:pPr>
              <w:spacing w:after="0"/>
            </w:pPr>
            <w:r/>
            <w:r>
              <w:rPr>
                <w:rFonts w:ascii="Aptos" w:hAnsi="Aptos"/>
                <w:b w:val="0"/>
                <w:sz w:val="15"/>
              </w:rPr>
              <w:t>Spanish commented mirror where code/scripts are added</w:t>
            </w:r>
          </w:p>
        </w:tc>
        <w:tc>
          <w:tcPr>
            <w:tcW w:type="dxa" w:w="5328"/>
            <w:vAlign w:val="center"/>
          </w:tcPr>
          <w:p>
            <w:pPr>
              <w:spacing w:after="0"/>
            </w:pPr>
            <w:r/>
            <w:r>
              <w:rPr>
                <w:rFonts w:ascii="Aptos" w:hAnsi="Aptos"/>
                <w:b w:val="0"/>
                <w:sz w:val="15"/>
              </w:rPr>
              <w:t>New dependencies unless separately approved</w:t>
            </w:r>
          </w:p>
        </w:tc>
      </w:tr>
    </w:tbl>
    <w:p>
      <w:pPr>
        <w:pStyle w:val="Heading1"/>
      </w:pPr>
      <w:r>
        <w:t>12. Hard gates for R3.6A-002 smoke</w:t>
      </w:r>
    </w:p>
    <w:tbl>
      <w:tblPr>
        <w:tblStyle w:val="TableGrid"/>
        <w:tblW w:type="auto" w:w="0"/>
        <w:jc w:val="center"/>
        <w:tblLook w:firstColumn="1" w:firstRow="1" w:lastColumn="0" w:lastRow="0" w:noHBand="0" w:noVBand="1" w:val="04A0"/>
      </w:tblPr>
      <w:tblGrid>
        <w:gridCol w:w="5184"/>
        <w:gridCol w:w="5184"/>
      </w:tblGrid>
      <w:tr>
        <w:trPr>
          <w:cantSplit/>
        </w:trPr>
        <w:tc>
          <w:tcPr>
            <w:tcW w:type="dxa" w:w="3600"/>
            <w:vAlign w:val="center"/>
            <w:shd w:fill="D9E2F3"/>
          </w:tcPr>
          <w:p>
            <w:pPr>
              <w:spacing w:after="0"/>
            </w:pPr>
            <w:r/>
            <w:r>
              <w:rPr>
                <w:rFonts w:ascii="Aptos" w:hAnsi="Aptos"/>
                <w:b/>
                <w:sz w:val="15"/>
              </w:rPr>
              <w:t>Gate</w:t>
            </w:r>
          </w:p>
        </w:tc>
        <w:tc>
          <w:tcPr>
            <w:tcW w:type="dxa" w:w="6984"/>
            <w:vAlign w:val="center"/>
            <w:shd w:fill="D9E2F3"/>
          </w:tcPr>
          <w:p>
            <w:pPr>
              <w:spacing w:after="0"/>
            </w:pPr>
            <w:r/>
            <w:r>
              <w:rPr>
                <w:rFonts w:ascii="Aptos" w:hAnsi="Aptos"/>
                <w:b/>
                <w:sz w:val="15"/>
              </w:rPr>
              <w:t>Required result</w:t>
            </w:r>
          </w:p>
        </w:tc>
      </w:tr>
      <w:tr>
        <w:trPr>
          <w:cantSplit/>
        </w:trPr>
        <w:tc>
          <w:tcPr>
            <w:tcW w:type="dxa" w:w="3600"/>
            <w:vAlign w:val="center"/>
          </w:tcPr>
          <w:p>
            <w:pPr>
              <w:spacing w:after="0"/>
            </w:pPr>
            <w:r/>
            <w:r>
              <w:rPr>
                <w:rFonts w:ascii="Aptos" w:hAnsi="Aptos"/>
                <w:b w:val="0"/>
                <w:sz w:val="15"/>
              </w:rPr>
              <w:t>ACA resource contract</w:t>
            </w:r>
          </w:p>
        </w:tc>
        <w:tc>
          <w:tcPr>
            <w:tcW w:type="dxa" w:w="6984"/>
            <w:vAlign w:val="center"/>
          </w:tcPr>
          <w:p>
            <w:pPr>
              <w:spacing w:after="0"/>
            </w:pPr>
            <w:r/>
            <w:r>
              <w:rPr>
                <w:rFonts w:ascii="Aptos" w:hAnsi="Aptos"/>
                <w:b w:val="0"/>
                <w:sz w:val="15"/>
              </w:rPr>
              <w:t>Exactly 1.0 vCPU / 2.0 GiB</w:t>
            </w:r>
          </w:p>
        </w:tc>
      </w:tr>
      <w:tr>
        <w:trPr>
          <w:cantSplit/>
        </w:trPr>
        <w:tc>
          <w:tcPr>
            <w:tcW w:type="dxa" w:w="3600"/>
            <w:vAlign w:val="center"/>
          </w:tcPr>
          <w:p>
            <w:pPr>
              <w:spacing w:after="0"/>
            </w:pPr>
            <w:r/>
            <w:r>
              <w:rPr>
                <w:rFonts w:ascii="Aptos" w:hAnsi="Aptos"/>
                <w:b w:val="0"/>
                <w:sz w:val="15"/>
              </w:rPr>
              <w:t>Replica range</w:t>
            </w:r>
          </w:p>
        </w:tc>
        <w:tc>
          <w:tcPr>
            <w:tcW w:type="dxa" w:w="6984"/>
            <w:vAlign w:val="center"/>
          </w:tcPr>
          <w:p>
            <w:pPr>
              <w:spacing w:after="0"/>
            </w:pPr>
            <w:r/>
            <w:r>
              <w:rPr>
                <w:rFonts w:ascii="Aptos" w:hAnsi="Aptos"/>
                <w:b w:val="0"/>
                <w:sz w:val="15"/>
              </w:rPr>
              <w:t>min=1 / max=1</w:t>
            </w:r>
          </w:p>
        </w:tc>
      </w:tr>
      <w:tr>
        <w:trPr>
          <w:cantSplit/>
        </w:trPr>
        <w:tc>
          <w:tcPr>
            <w:tcW w:type="dxa" w:w="3600"/>
            <w:vAlign w:val="center"/>
          </w:tcPr>
          <w:p>
            <w:pPr>
              <w:spacing w:after="0"/>
            </w:pPr>
            <w:r/>
            <w:r>
              <w:rPr>
                <w:rFonts w:ascii="Aptos" w:hAnsi="Aptos"/>
                <w:b w:val="0"/>
                <w:sz w:val="15"/>
              </w:rPr>
              <w:t>Ingress</w:t>
            </w:r>
          </w:p>
        </w:tc>
        <w:tc>
          <w:tcPr>
            <w:tcW w:type="dxa" w:w="6984"/>
            <w:vAlign w:val="center"/>
          </w:tcPr>
          <w:p>
            <w:pPr>
              <w:spacing w:after="0"/>
            </w:pPr>
            <w:r/>
            <w:r>
              <w:rPr>
                <w:rFonts w:ascii="Aptos" w:hAnsi="Aptos"/>
                <w:b w:val="0"/>
                <w:sz w:val="15"/>
              </w:rPr>
              <w:t>Disabled</w:t>
            </w:r>
          </w:p>
        </w:tc>
      </w:tr>
      <w:tr>
        <w:trPr>
          <w:cantSplit/>
        </w:trPr>
        <w:tc>
          <w:tcPr>
            <w:tcW w:type="dxa" w:w="3600"/>
            <w:vAlign w:val="center"/>
          </w:tcPr>
          <w:p>
            <w:pPr>
              <w:spacing w:after="0"/>
            </w:pPr>
            <w:r/>
            <w:r>
              <w:rPr>
                <w:rFonts w:ascii="Aptos" w:hAnsi="Aptos"/>
                <w:b w:val="0"/>
                <w:sz w:val="15"/>
              </w:rPr>
              <w:t>Image pull</w:t>
            </w:r>
          </w:p>
        </w:tc>
        <w:tc>
          <w:tcPr>
            <w:tcW w:type="dxa" w:w="6984"/>
            <w:vAlign w:val="center"/>
          </w:tcPr>
          <w:p>
            <w:pPr>
              <w:spacing w:after="0"/>
            </w:pPr>
            <w:r/>
            <w:r>
              <w:rPr>
                <w:rFonts w:ascii="Aptos" w:hAnsi="Aptos"/>
                <w:b w:val="0"/>
                <w:sz w:val="15"/>
              </w:rPr>
              <w:t>Private image obtained without embedded registry credential</w:t>
            </w:r>
          </w:p>
        </w:tc>
      </w:tr>
      <w:tr>
        <w:trPr>
          <w:cantSplit/>
        </w:trPr>
        <w:tc>
          <w:tcPr>
            <w:tcW w:type="dxa" w:w="3600"/>
            <w:vAlign w:val="center"/>
          </w:tcPr>
          <w:p>
            <w:pPr>
              <w:spacing w:after="0"/>
            </w:pPr>
            <w:r/>
            <w:r>
              <w:rPr>
                <w:rFonts w:ascii="Aptos" w:hAnsi="Aptos"/>
                <w:b w:val="0"/>
                <w:sz w:val="15"/>
              </w:rPr>
              <w:t>Durable mount</w:t>
            </w:r>
          </w:p>
        </w:tc>
        <w:tc>
          <w:tcPr>
            <w:tcW w:type="dxa" w:w="6984"/>
            <w:vAlign w:val="center"/>
          </w:tcPr>
          <w:p>
            <w:pPr>
              <w:spacing w:after="0"/>
            </w:pPr>
            <w:r/>
            <w:r>
              <w:rPr>
                <w:rFonts w:ascii="Aptos" w:hAnsi="Aptos"/>
                <w:b w:val="0"/>
                <w:sz w:val="15"/>
              </w:rPr>
              <w:t>ReadWrite and survives replica/process replacement test setup</w:t>
            </w:r>
          </w:p>
        </w:tc>
      </w:tr>
      <w:tr>
        <w:trPr>
          <w:cantSplit/>
        </w:trPr>
        <w:tc>
          <w:tcPr>
            <w:tcW w:type="dxa" w:w="3600"/>
            <w:vAlign w:val="center"/>
          </w:tcPr>
          <w:p>
            <w:pPr>
              <w:spacing w:after="0"/>
            </w:pPr>
            <w:r/>
            <w:r>
              <w:rPr>
                <w:rFonts w:ascii="Aptos" w:hAnsi="Aptos"/>
                <w:b w:val="0"/>
                <w:sz w:val="15"/>
              </w:rPr>
              <w:t>Physical bank mount</w:t>
            </w:r>
          </w:p>
        </w:tc>
        <w:tc>
          <w:tcPr>
            <w:tcW w:type="dxa" w:w="6984"/>
            <w:vAlign w:val="center"/>
          </w:tcPr>
          <w:p>
            <w:pPr>
              <w:spacing w:after="0"/>
            </w:pPr>
            <w:r/>
            <w:r>
              <w:rPr>
                <w:rFonts w:ascii="Aptos" w:hAnsi="Aptos"/>
                <w:b w:val="0"/>
                <w:sz w:val="15"/>
              </w:rPr>
              <w:t>ReadOnly and accepted bank identity/hash metadata verified</w:t>
            </w:r>
          </w:p>
        </w:tc>
      </w:tr>
      <w:tr>
        <w:trPr>
          <w:cantSplit/>
        </w:trPr>
        <w:tc>
          <w:tcPr>
            <w:tcW w:type="dxa" w:w="3600"/>
            <w:vAlign w:val="center"/>
          </w:tcPr>
          <w:p>
            <w:pPr>
              <w:spacing w:after="0"/>
            </w:pPr>
            <w:r/>
            <w:r>
              <w:rPr>
                <w:rFonts w:ascii="Aptos" w:hAnsi="Aptos"/>
                <w:b w:val="0"/>
                <w:sz w:val="15"/>
              </w:rPr>
              <w:t>Secret scan</w:t>
            </w:r>
          </w:p>
        </w:tc>
        <w:tc>
          <w:tcPr>
            <w:tcW w:type="dxa" w:w="6984"/>
            <w:vAlign w:val="center"/>
          </w:tcPr>
          <w:p>
            <w:pPr>
              <w:spacing w:after="0"/>
            </w:pPr>
            <w:r/>
            <w:r>
              <w:rPr>
                <w:rFonts w:ascii="Aptos" w:hAnsi="Aptos"/>
                <w:b w:val="0"/>
                <w:sz w:val="15"/>
              </w:rPr>
              <w:t>No secret values emitted in image config, application logs or captured evidence</w:t>
            </w:r>
          </w:p>
        </w:tc>
      </w:tr>
      <w:tr>
        <w:trPr>
          <w:cantSplit/>
        </w:trPr>
        <w:tc>
          <w:tcPr>
            <w:tcW w:type="dxa" w:w="3600"/>
            <w:vAlign w:val="center"/>
          </w:tcPr>
          <w:p>
            <w:pPr>
              <w:spacing w:after="0"/>
            </w:pPr>
            <w:r/>
            <w:r>
              <w:rPr>
                <w:rFonts w:ascii="Aptos" w:hAnsi="Aptos"/>
                <w:b w:val="0"/>
                <w:sz w:val="15"/>
              </w:rPr>
              <w:t>Runtime startup</w:t>
            </w:r>
          </w:p>
        </w:tc>
        <w:tc>
          <w:tcPr>
            <w:tcW w:type="dxa" w:w="6984"/>
            <w:vAlign w:val="center"/>
          </w:tcPr>
          <w:p>
            <w:pPr>
              <w:spacing w:after="0"/>
            </w:pPr>
            <w:r/>
            <w:r>
              <w:rPr>
                <w:rFonts w:ascii="Aptos" w:hAnsi="Aptos"/>
                <w:b w:val="0"/>
                <w:sz w:val="15"/>
              </w:rPr>
              <w:t>Process reaches normal execution state</w:t>
            </w:r>
          </w:p>
        </w:tc>
      </w:tr>
      <w:tr>
        <w:trPr>
          <w:cantSplit/>
        </w:trPr>
        <w:tc>
          <w:tcPr>
            <w:tcW w:type="dxa" w:w="3600"/>
            <w:vAlign w:val="center"/>
          </w:tcPr>
          <w:p>
            <w:pPr>
              <w:spacing w:after="0"/>
            </w:pPr>
            <w:r/>
            <w:r>
              <w:rPr>
                <w:rFonts w:ascii="Aptos" w:hAnsi="Aptos"/>
                <w:b w:val="0"/>
                <w:sz w:val="15"/>
              </w:rPr>
              <w:t>Smoke integrity</w:t>
            </w:r>
          </w:p>
        </w:tc>
        <w:tc>
          <w:tcPr>
            <w:tcW w:type="dxa" w:w="6984"/>
            <w:vAlign w:val="center"/>
          </w:tcPr>
          <w:p>
            <w:pPr>
              <w:spacing w:after="0"/>
            </w:pPr>
            <w:r/>
            <w:r>
              <w:rPr>
                <w:rFonts w:ascii="Aptos" w:hAnsi="Aptos"/>
                <w:b w:val="0"/>
                <w:sz w:val="15"/>
              </w:rPr>
              <w:t>No durability/chain/materialization defect</w:t>
            </w:r>
          </w:p>
        </w:tc>
      </w:tr>
    </w:tbl>
    <w:p>
      <w:pPr>
        <w:pStyle w:val="Heading1"/>
      </w:pPr>
      <w:r>
        <w:t>13. Explicit exclusions</w:t>
      </w:r>
    </w:p>
    <w:p>
      <w:r>
        <w:t>R3.6A-001 does not implement Azure resources, change product packages, add Redis, redesign observability, move persistence to Cosmos/Blob/SQL, enable scale-out, introduce Dapr, add an HTTP health service, modify Tool/UI behavior or widen the F-007 dataset bank. Those decisions require separate evidence and contracts.</w:t>
      </w:r>
    </w:p>
    <w:p>
      <w:pPr>
        <w:pStyle w:val="Heading1"/>
      </w:pPr>
      <w:r>
        <w:t>14. Acceptance decision</w:t>
      </w:r>
    </w:p>
    <w:p>
      <w:r>
        <w:rPr>
          <w:b/>
        </w:rPr>
        <w:t>If accepted, this document freezes Azure Container Apps single-replica E2 as the R3.6 baseline and authorizes only R3.6A-002 infrastructure composition + smoke implementation. It does not authorize the 30-minute Azure qualification until A-002 has passed its gate.</w:t>
      </w:r>
    </w:p>
    <w:p>
      <w:pPr>
        <w:pStyle w:val="Heading1"/>
      </w:pPr>
      <w:r>
        <w:t>15. Current Microsoft platform references</w:t>
      </w:r>
    </w:p>
    <w:p>
      <w:r>
        <w:t>Azure Container Apps scaling: https://learn.microsoft.com/en-us/azure/container-apps/scale-app</w:t>
      </w:r>
    </w:p>
    <w:p>
      <w:r>
        <w:t>Container resources: https://learn.microsoft.com/en-us/azure/container-apps/containers</w:t>
      </w:r>
    </w:p>
    <w:p>
      <w:r>
        <w:t>Storage mounts: https://learn.microsoft.com/en-us/azure/container-apps/storage-mounts</w:t>
      </w:r>
    </w:p>
    <w:p>
      <w:r>
        <w:t>Azure Files mount tutorial: https://learn.microsoft.com/en-us/azure/container-apps/storage-mounts-azure-files</w:t>
      </w:r>
    </w:p>
    <w:p>
      <w:r>
        <w:t>Managed identities: https://learn.microsoft.com/en-us/azure/container-apps/managed-identity</w:t>
      </w:r>
    </w:p>
    <w:p>
      <w:r>
        <w:t>Container Apps secrets / Key Vault references: https://learn.microsoft.com/en-us/azure/container-apps/manage-secrets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Atlanticus · R3.6A-001 Azure Runtime / Deployment Contract ·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