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2F5597"/>
          <w:sz w:val="24"/>
        </w:rPr>
        <w:t>ATLANTICUS / ADA</w:t>
      </w:r>
    </w:p>
    <w:p>
      <w:pPr>
        <w:pStyle w:val="Title"/>
        <w:jc w:val="center"/>
      </w:pPr>
      <w:r>
        <w:rPr>
          <w:rFonts w:ascii="Liberation Sans" w:hAnsi="Liberation Sans"/>
          <w:b/>
          <w:color w:val="17365D"/>
          <w:sz w:val="49"/>
        </w:rPr>
        <w:t>Plataforma genérica, fronteras arquitectónicas</w:t>
        <w:br/>
        <w:t>y protocolo de continuidad</w:t>
      </w:r>
    </w:p>
    <w:p>
      <w:pPr>
        <w:jc w:val="center"/>
      </w:pPr>
      <w:r>
        <w:rPr>
          <w:rFonts w:ascii="Liberation Sans" w:hAnsi="Liberation Sans"/>
          <w:color w:val="595959"/>
          <w:sz w:val="22"/>
        </w:rPr>
        <w:t>Checkpoint de transición previo a repositorios específicos de Tool · Agosto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056"/>
      </w:tblGrid>
      <w:tr>
        <w:trPr>
          <w:cantSplit/>
        </w:trPr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E2F0D9"/>
          </w:tcPr>
          <w:p>
            <w:r>
              <w:rPr>
                <w:rFonts w:ascii="Liberation Sans" w:hAnsi="Liberation Sans"/>
                <w:color w:val="1F1F1F"/>
                <w:sz w:val="18"/>
              </w:rPr>
              <w:t>FRONTERA CONGELADA — completar plataforma genérica antes de crear Integrated Operations específica</w:t>
            </w:r>
          </w:p>
        </w:tc>
      </w:tr>
      <w:tr>
        <w:trPr>
          <w:cantSplit/>
        </w:trPr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1F1F1F"/>
                <w:sz w:val="18"/>
              </w:rPr>
              <w:t>1.0.0</w:t>
            </w:r>
          </w:p>
        </w:tc>
      </w:tr>
      <w:tr>
        <w:trPr>
          <w:cantSplit/>
        </w:trPr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Autoridad</w:t>
            </w:r>
          </w:p>
        </w:tc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1F1F1F"/>
                <w:sz w:val="18"/>
              </w:rPr>
              <w:t>atlanticus actual; multi-stage como cantera principal; versiones anteriores sólo para capacidades faltantes</w:t>
            </w:r>
          </w:p>
        </w:tc>
      </w:tr>
      <w:tr>
        <w:trPr>
          <w:cantSplit/>
        </w:trPr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1F1F1F"/>
                <w:sz w:val="18"/>
              </w:rPr>
              <w:t>Evitar monolito, duplicación de contratos y reconstrucción de capacidades ya validadas.</w:t>
            </w:r>
          </w:p>
        </w:tc>
      </w:tr>
      <w:tr>
        <w:trPr>
          <w:cantSplit/>
        </w:trPr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Continuidad</w:t>
            </w:r>
          </w:p>
        </w:tc>
        <w:tc>
          <w:tcPr>
            <w:tcW w:type="dxa" w:w="5141"/>
            <w:tcMar>
              <w:top w:w="78" w:type="dxa"/>
              <w:start w:w="100" w:type="dxa"/>
              <w:bottom w:w="78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1F1F1F"/>
                <w:sz w:val="18"/>
              </w:rPr>
              <w:t>En cada chat nuevo deben reenviarse los cinco artefactos/repositories de referencia definidos en este documento.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20"/>
              </w:rPr>
              <w:t>Regla central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Atlanticus debe seguir siendo una base modular, liviana y reusable. ADA agrega semántica genérica de la familia de aplicaciones; las geometrías, zooms, videowall y composiciones visuales amarradas a una Tool concreta deben vivir fuera de la base genérica.</w:t>
            </w:r>
          </w:p>
        </w:tc>
      </w:tr>
    </w:tbl>
    <w:p>
      <w:pPr>
        <w:spacing w:after="20"/>
      </w:pPr>
    </w:p>
    <w:p>
      <w:pPr>
        <w:pStyle w:val="Heading1"/>
      </w:pPr>
      <w:r>
        <w:t>1. Propósito y alcance de este checkpoint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Congelar la frontera entre Kernel/Backend, Web Framework, ADA genérico y repositorios específicos de Tool.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Documentar qué capacidades ya existen y desde qué generación deben rescatarse sin retroceder contratos.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Definir la política de observabilidad unificada y selectiva hacia Azure.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Ordenar el trabajo pendiente de Manager, UX, responsive, Activity, PWA, Application Insights, Web Environment y Card Display.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Registrar qué incrementos recientes deben mantenerse, detenerse o retirarse.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Establecer el protocolo obligatorio para retomar el proyecto en un chat nuevo.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7F6000"/>
                <w:sz w:val="20"/>
              </w:rPr>
              <w:t>No es un contrato final de implementación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Este documento guía la transición y el orden de trabajo. Cada capability seguirá cerrándose mediante contratos pequeños, gates y pruebas antes de integrarse.</w:t>
            </w:r>
          </w:p>
        </w:tc>
      </w:tr>
    </w:tbl>
    <w:p>
      <w:pPr>
        <w:spacing w:after="20"/>
      </w:pPr>
    </w:p>
    <w:p>
      <w:pPr>
        <w:pStyle w:val="Heading1"/>
      </w:pPr>
      <w:r>
        <w:t>2. Jerarquía de autoridad y cantera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EF5FB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pStyle w:val="Diagram"/>
            </w:pPr>
            <w:r>
              <w:rPr>
                <w:rFonts w:ascii="Liberation Mono" w:hAnsi="Liberation Mono"/>
                <w:color w:val="1F1F1F"/>
                <w:sz w:val="16"/>
              </w:rPr>
              <w:t>DECISIÓN DE CAMBIO</w:t>
              <w:br/>
              <w:t xml:space="preserve">      │</w:t>
              <w:br/>
              <w:t xml:space="preserve">      ▼</w:t>
              <w:br/>
              <w:t>[1] ATLANTICUS ACTUAL                 ← autoridad final</w:t>
              <w:br/>
              <w:t xml:space="preserve">      │ ¿falta capability?</w:t>
              <w:br/>
              <w:t xml:space="preserve">      ▼</w:t>
              <w:br/>
              <w:t>[2] ATLANTICUS-MULTI-STAGE            ← cantera principal / versión más pulida</w:t>
              <w:br/>
              <w:t xml:space="preserve">      │ ¿no existe allí?</w:t>
              <w:br/>
              <w:t xml:space="preserve">      ▼</w:t>
              <w:br/>
              <w:t>[3] ATLANTICUS-LATEST / LAST-VERSION  ← versión anterior / cantera secundaria</w:t>
              <w:br/>
              <w:t xml:space="preserve">      │ ¿tampoco existe?</w:t>
              <w:br/>
              <w:t xml:space="preserve">      ▼</w:t>
              <w:br/>
              <w:t>[4] INTEGRATED OPERATIONS / FLOTACIÓN ← guía legacy / comportamiento publicado</w:t>
              <w:br/>
            </w:r>
          </w:p>
        </w:tc>
      </w:tr>
    </w:tbl>
    <w:p>
      <w:pPr>
        <w:spacing w:after="20"/>
      </w:pP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Nunca reconstruir desde una generación antigua una capability que ya fue refinada en una generación posterior.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Cuando una capability desapareció en multi-stage, rescatar únicamente esa pieza desde atlanticus-latest/last-version y adaptarla al contrato actual.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Las aplicaciones específicas legacy se usan al final de la cadena para comportamiento, UX o piezas todavía no modularizadas; no son la arquitectura base a copiar.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232"/>
        <w:gridCol w:w="5400"/>
      </w:tblGrid>
      <w:tr>
        <w:trPr>
          <w:tblHeader w:val="true"/>
          <w:cantSplit/>
        </w:trPr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Regla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 actual</w:t>
            </w:r>
          </w:p>
        </w:tc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Autoridad</w:t>
            </w:r>
          </w:p>
        </w:tc>
        <w:tc>
          <w:tcPr>
            <w:tcW w:type="dxa" w:w="54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Todo cambio parte de lo que existe hoy. No se pisa con paquetes antiguos.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atlanticus-multi-stage</w:t>
            </w:r>
          </w:p>
        </w:tc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Cantera principal</w:t>
            </w:r>
          </w:p>
        </w:tc>
        <w:tc>
          <w:tcPr>
            <w:tcW w:type="dxa" w:w="54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Manager, Activity, observability Web, compositions y capacidades ya refinadas.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atlanticus-latest / last-version</w:t>
            </w:r>
          </w:p>
        </w:tc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Cantera secundaria</w:t>
            </w:r>
          </w:p>
        </w:tc>
        <w:tc>
          <w:tcPr>
            <w:tcW w:type="dxa" w:w="54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Sólo gaps concretos; ejemplo: paginación administrativa ausente en multi-stage.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Integrated Operations publicada</w:t>
            </w:r>
          </w:p>
        </w:tc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Guía específica</w:t>
            </w:r>
          </w:p>
        </w:tc>
        <w:tc>
          <w:tcPr>
            <w:tcW w:type="dxa" w:w="54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Geometría, zoom, videowall, PWA/refresh y comportamiento real de IO.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Flotación Selectiva publicada</w:t>
            </w:r>
          </w:p>
        </w:tc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Guía Process</w:t>
            </w:r>
          </w:p>
        </w:tc>
        <w:tc>
          <w:tcPr>
            <w:tcW w:type="dxa" w:w="54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Referencia de comportamiento Process y piezas operacionales legacy.</w:t>
            </w:r>
          </w:p>
        </w:tc>
      </w:tr>
    </w:tbl>
    <w:p>
      <w:pPr>
        <w:spacing w:after="20"/>
      </w:pPr>
    </w:p>
    <w:p>
      <w:pPr>
        <w:pStyle w:val="Heading1"/>
      </w:pPr>
      <w:r>
        <w:t>3. Frontera arquitectónica objetivo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2F2F2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pStyle w:val="Diagram"/>
            </w:pPr>
            <w:r>
              <w:rPr>
                <w:rFonts w:ascii="Liberation Mono" w:hAnsi="Liberation Mono"/>
                <w:color w:val="1F1F1F"/>
                <w:sz w:val="15"/>
              </w:rPr>
              <w:t>ATLANTICUS KERNEL / BACKEND</w:t>
              <w:br/>
              <w:t>├─ configuration + Key Vault / secretos</w:t>
              <w:br/>
              <w:t>├─ observability neutral</w:t>
              <w:br/>
              <w:t>├─ observability-azure exporter</w:t>
              <w:br/>
              <w:t>├─ Cosmos / HTTP / SQL / Storage / Service Bus / etc.</w:t>
              <w:br/>
              <w:t>└─ contratos de infraestructura</w:t>
              <w:br/>
              <w:br/>
              <w:t>ATLANTICUS WEB FRAMEWORK</w:t>
              <w:br/>
              <w:t>├─ Web Environment / Settings</w:t>
              <w:br/>
              <w:t>├─ Web Observability</w:t>
              <w:br/>
              <w:t>├─ Identity / Users / Navigation / Authorization</w:t>
              <w:br/>
              <w:t>├─ User Activity</w:t>
              <w:br/>
              <w:t>├─ Manager framework</w:t>
              <w:br/>
              <w:t>├─ Hosting / Gunicorn lifecycle</w:t>
              <w:br/>
              <w:t>├─ PWA/runtime JS primitives</w:t>
              <w:br/>
              <w:t>├─ feedback / pagination / responsive primitives</w:t>
              <w:br/>
              <w:t>└─ Application Insights browser integration</w:t>
              <w:br/>
              <w:br/>
              <w:t>ADA GENÉRICO</w:t>
              <w:br/>
              <w:t>├─ Generic Application</w:t>
              <w:br/>
              <w:t>├─ Header + Time View / Time Status</w:t>
              <w:br/>
              <w:t>├─ Tool Configuration + Manager</w:t>
              <w:br/>
              <w:t>├─ KPI Configuration + Manager</w:t>
              <w:br/>
              <w:t>├─ Card Display genérico</w:t>
              <w:br/>
              <w:t>├─ Tool Projection / bindings</w:t>
              <w:br/>
              <w:t>├─ Alarm Baseline Projection + primitive neutral</w:t>
              <w:br/>
              <w:t>└─ capabilities ADA reutilizables</w:t>
              <w:br/>
              <w:br/>
              <w:t>TOOL ESPECÍFICA</w:t>
              <w:br/>
              <w:t>└─ Integrated Operations (primera)</w:t>
              <w:br/>
              <w:t xml:space="preserve">   ├─ geometría, orden y Body concreto</w:t>
              <w:br/>
              <w:t xml:space="preserve">   ├─ Mina / Planta / Puerto</w:t>
              <w:br/>
              <w:t xml:space="preserve">   ├─ Carguío + Transporte / shared visual</w:t>
              <w:br/>
              <w:t xml:space="preserve">   ├─ zoom y contrato CSS aplicado</w:t>
              <w:br/>
              <w:t xml:space="preserve">   ├─ videowall</w:t>
              <w:br/>
              <w:t xml:space="preserve">   ├─ estados visuales concretos</w:t>
              <w:br/>
              <w:t xml:space="preserve">   ├─ baseline físico alineado con Body</w:t>
              <w:br/>
              <w:t xml:space="preserve">   └─ callbacks / presentación propia</w:t>
              <w:br/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548235"/>
                <w:sz w:val="20"/>
              </w:rPr>
              <w:t>Criterio de promoción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Una pieza entra a Atlanticus/ADA genérico sólo si otra Tool puede reutilizarla sin conocer nombres, geometría o reglas particulares de Integrated Operations. Si necesita conocer esas particularidades, pertenece al repositorio específico.</w:t>
            </w:r>
          </w:p>
        </w:tc>
      </w:tr>
    </w:tbl>
    <w:p>
      <w:pPr>
        <w:spacing w:after="20"/>
      </w:pPr>
    </w:p>
    <w:p>
      <w:pPr>
        <w:pStyle w:val="Heading1"/>
      </w:pPr>
      <w:r>
        <w:t>4. Configuración: Backend y Web no comparten el mismo contrato</w:t>
      </w:r>
    </w:p>
    <w:p>
      <w:pPr>
        <w:pStyle w:val="Heading2"/>
      </w:pPr>
      <w:r>
        <w:t>4.1 atlanticus-configuration permanece en Backend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Es contrato de infraestructura y resolución de configuración/secretos.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Puede integrar manifest, Key Vault, precedencia de fuentes, masking y validación fail-fast.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Es consumido por conectividad y contratos backend; la Web no debe depender de él como settings layer.</w:t>
      </w:r>
    </w:p>
    <w:p>
      <w:pPr>
        <w:pStyle w:val="Heading2"/>
      </w:pPr>
      <w:r>
        <w:t>4.2 Web Environment debe ser un contrato propio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La Web sí lee variables de entorno directamente para runtime web.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Se propone usar pydantic-settings para tipado, defaults, parsing y validación de settings Web.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debe resolver secretos por servicio ni convertirse en reemplazo de atlanticus-configuration.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El core Web recibe environment ya inyectado por deployment/App Service/Container; .env es sólo conveniencia local si se habilita.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168"/>
        <w:gridCol w:w="4320"/>
      </w:tblGrid>
      <w:tr>
        <w:trPr>
          <w:tblHeader w:val="true"/>
          <w:cantSplit/>
        </w:trPr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Contrato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Ejemplos</w:t>
            </w:r>
          </w:p>
        </w:tc>
      </w:tr>
      <w:tr>
        <w:trPr>
          <w:cantSplit/>
        </w:trPr>
        <w:tc>
          <w:tcPr>
            <w:tcW w:type="dxa" w:w="2376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atlanticus-configuration</w:t>
            </w:r>
          </w:p>
        </w:tc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Backend/infraestructura</w:t>
            </w:r>
          </w:p>
        </w:tc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Key Vault, secret manifest, credenciales, configuración de conectores.</w:t>
            </w:r>
          </w:p>
        </w:tc>
      </w:tr>
      <w:tr>
        <w:trPr>
          <w:cantSplit/>
        </w:trPr>
        <w:tc>
          <w:tcPr>
            <w:tcW w:type="dxa" w:w="2376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Web Environment</w:t>
            </w:r>
          </w:p>
        </w:tc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Runtime Web</w:t>
            </w:r>
          </w:p>
        </w:tc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environment, Application Insights Web, PWA, refresh, activity, hosting/web toggles.</w:t>
            </w:r>
          </w:p>
        </w:tc>
      </w:tr>
    </w:tbl>
    <w:p>
      <w:pPr>
        <w:spacing w:after="20"/>
      </w:pPr>
    </w:p>
    <w:p>
      <w:pPr>
        <w:pStyle w:val="Heading1"/>
      </w:pPr>
      <w:r>
        <w:t>5. Observabilidad: contratos separados, salida Azure unificada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EF5FB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pStyle w:val="Diagram"/>
            </w:pPr>
            <w:r>
              <w:rPr>
                <w:rFonts w:ascii="Liberation Mono" w:hAnsi="Liberation Mono"/>
                <w:color w:val="1F1F1F"/>
                <w:sz w:val="16"/>
              </w:rPr>
              <w:t>COSMOS / HTTP / SQL / STORAGE                 FLASK / DASH / CALLBACKS</w:t>
              <w:br/>
              <w:t xml:space="preserve">          │                                              │</w:t>
              <w:br/>
              <w:t xml:space="preserve">          ▼                                              ▼</w:t>
              <w:br/>
              <w:t>Kernel Observability                            Web Observability</w:t>
              <w:br/>
              <w:t xml:space="preserve">          │                                              │</w:t>
              <w:br/>
              <w:t xml:space="preserve">          └──────────────────┬───────────────────────────┘</w:t>
              <w:br/>
              <w:t xml:space="preserve">                             ▼</w:t>
              <w:br/>
              <w:t xml:space="preserve">                  Unified telemetry adapter</w:t>
              <w:br/>
              <w:t xml:space="preserve">                             │</w:t>
              <w:br/>
              <w:t xml:space="preserve">                  sanitización + severidad</w:t>
              <w:br/>
              <w:t xml:space="preserve">                  cardinalidad + contexto</w:t>
              <w:br/>
              <w:t xml:space="preserve">                             │</w:t>
              <w:br/>
              <w:t xml:space="preserve">                             ▼</w:t>
              <w:br/>
              <w:t xml:space="preserve">                 atlanticus-observability-azure</w:t>
              <w:br/>
              <w:t xml:space="preserve">                             │</w:t>
              <w:br/>
              <w:t xml:space="preserve">                             ▼</w:t>
              <w:br/>
              <w:t xml:space="preserve">                  Azure Monitor / App Insights</w:t>
              <w:br/>
            </w:r>
          </w:p>
        </w:tc>
      </w:tr>
    </w:tbl>
    <w:p>
      <w:pPr>
        <w:spacing w:after="20"/>
      </w:pPr>
    </w:p>
    <w:p>
      <w:pPr>
        <w:pStyle w:val="Heading2"/>
      </w:pPr>
      <w:r>
        <w:t>5.1 Lo que NO se fusiona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Kernel Observability conserva el contrato estructurado requerido por Cosmos, HTTP y otros componentes backend.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Web Observability conserva semántica de Flask/Dash, errores de request, callbacks y fallos de presentación.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Kernel no depende de Flask/Dash y Web no depende directamente del SDK/exporter Azure.</w:t>
      </w:r>
    </w:p>
    <w:p>
      <w:pPr>
        <w:pStyle w:val="Heading2"/>
      </w:pPr>
      <w:r>
        <w:t>5.2 Lo que SÍ se unifica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Una sola configuración de export remoto por runtime/worker.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Un solo exporter Azure reutilizando atlanticus-observability-azure existente.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Un mismo contexto de aplicación, environment, service, worker/instance y correlation/operation id.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Una misma política de sanitización, severidad y control de cardinalidad.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Un único lifecycle de flush/close por worker para telemetría remota.</w:t>
      </w:r>
    </w:p>
    <w:p>
      <w:pPr>
        <w:pStyle w:val="Heading2"/>
      </w:pPr>
      <w:r>
        <w:t>5.3 Política de costo y señal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548235"/>
                <w:sz w:val="20"/>
              </w:rPr>
              <w:t>Producción normal: WARNING+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Azure no será un espejo de todos los logs. El objetivo es detectar y diagnosticar problemas. Éxitos rutinarios no se exportan.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2088"/>
        <w:gridCol w:w="3384"/>
      </w:tblGrid>
      <w:tr>
        <w:trPr>
          <w:tblHeader w:val="true"/>
          <w:cantSplit/>
        </w:trPr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Local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Azure normal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Cosmos/HTTP/Storage/SQL exitoso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Sí, según nivel local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Timeout / dependencia degradada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Sí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WARNING o ERROR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Retries agotados / HTTP 5xx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Sí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ERROR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Parsing / contrato inválido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Sí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ERROR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Callback exitoso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Opcional/local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Callback rompe por dato inesperado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Sí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ERROR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Render/projection failure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Sí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ERROR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Degradación recuperable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Sí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WARNING</w:t>
            </w:r>
          </w:p>
        </w:tc>
      </w:tr>
      <w:tr>
        <w:trPr>
          <w:cantSplit/>
        </w:trPr>
        <w:tc>
          <w:tcPr>
            <w:tcW w:type="dxa" w:w="432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Fallo crítico de runtime</w:t>
            </w:r>
          </w:p>
        </w:tc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Sí</w:t>
            </w:r>
          </w:p>
        </w:tc>
        <w:tc>
          <w:tcPr>
            <w:tcW w:type="dxa" w:w="338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CRITICAL</w:t>
            </w:r>
          </w:p>
        </w:tc>
      </w:tr>
    </w:tbl>
    <w:p>
      <w:pPr>
        <w:spacing w:after="20"/>
      </w:pP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Perfil OFF: sin export Azure.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Perfil SLIM: producción normal, señal relevante y WARNING/ERROR/CRITICAL como política objetivo.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Perfil DIAGNOSTIC: temporal para investigación; puede agregar spans fallidos/lentos, pero nunca convertirse en “enviar todo”.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Los logs locales pueden ser más ricos que Azure y siguen separados de la telemetría remota.</w:t>
      </w:r>
    </w:p>
    <w:p>
      <w:pPr>
        <w:pStyle w:val="Heading2"/>
      </w:pPr>
      <w:r>
        <w:t>5.4 Browser Application Insights y User Activity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El application_insights.js aportado usa el SDK browser 3.x y window.APPINSIGHTS_CONNECTION_STRING.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Browser App Insights es telemetría técnica frontend: excepciones JS, page views/performance según política y fallos del browser.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User Activity es semántica funcional: session, heartbeat, hidden/visible, pathname, viewport y active_seconds.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reemplazar User Activity con App Insights ni duplicar tracking de clicks innecesariamente.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Browser, Web y Kernel deben apuntar al mismo recurso Azure cuando corresponda, manteniendo productores y contratos separados.</w:t>
      </w:r>
    </w:p>
    <w:p>
      <w:pPr>
        <w:pStyle w:val="Heading1"/>
      </w:pPr>
      <w:r>
        <w:t>6. Manager: conservar multi-stage y completar gaps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20"/>
              </w:rPr>
              <w:t>Autoridad del Manager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El Manager de atlanticus-multi-stage es la base más pulida y debe mantenerse/adaptarse. No se debe restaurar un Manager antiguo completo para recuperar una capability puntual.</w:t>
            </w:r>
          </w:p>
        </w:tc>
      </w:tr>
    </w:tbl>
    <w:p>
      <w:pPr>
        <w:spacing w:after="20"/>
      </w:pP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Preservar lifecycle administrativo común: Source → Workspace → History → Projection.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Preservar authorization, ownership de workspace, conflicts y composición de superficies.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Adaptar las superficies ADA actuales al Manager refinado, no devolver Tool/KPI Configuration a contratos antiguos.</w:t>
      </w:r>
    </w:p>
    <w:p>
      <w:pPr>
        <w:pStyle w:val="Heading2"/>
      </w:pPr>
      <w:r>
        <w:t>6.1 Gaps de UX que deben cerrarse transversalmente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rPr>
          <w:tblHeader w:val="true"/>
          <w:cantSplit/>
        </w:trPr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Gap</w:t>
            </w:r>
          </w:p>
        </w:tc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Contrato esperado</w:t>
            </w:r>
          </w:p>
        </w:tc>
      </w:tr>
      <w:tr>
        <w:trPr>
          <w:cantSplit/>
        </w:trPr>
        <w:tc>
          <w:tcPr>
            <w:tcW w:type="dxa" w:w="259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Responsividad</w:t>
            </w:r>
          </w:p>
        </w:tc>
        <w:tc>
          <w:tcPr>
            <w:tcW w:type="dxa" w:w="72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Manager usable en desktop, tablet y mobile sin overflow ni controles inaccesibles.</w:t>
            </w:r>
          </w:p>
        </w:tc>
      </w:tr>
      <w:tr>
        <w:trPr>
          <w:cantSplit/>
        </w:trPr>
        <w:tc>
          <w:tcPr>
            <w:tcW w:type="dxa" w:w="259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Busy lock</w:t>
            </w:r>
          </w:p>
        </w:tc>
        <w:tc>
          <w:tcPr>
            <w:tcW w:type="dxa" w:w="72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Bloquear acción activa mientras una operación está en curso; evitar doble submit/interacción.</w:t>
            </w:r>
          </w:p>
        </w:tc>
      </w:tr>
      <w:tr>
        <w:trPr>
          <w:cantSplit/>
        </w:trPr>
        <w:tc>
          <w:tcPr>
            <w:tcW w:type="dxa" w:w="259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Spinner/loading</w:t>
            </w:r>
          </w:p>
        </w:tc>
        <w:tc>
          <w:tcPr>
            <w:tcW w:type="dxa" w:w="72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Spinner coherente y visible en la acción/área activa.</w:t>
            </w:r>
          </w:p>
        </w:tc>
      </w:tr>
      <w:tr>
        <w:trPr>
          <w:cantSplit/>
        </w:trPr>
        <w:tc>
          <w:tcPr>
            <w:tcW w:type="dxa" w:w="259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Success/error/warning</w:t>
            </w:r>
          </w:p>
        </w:tc>
        <w:tc>
          <w:tcPr>
            <w:tcW w:type="dxa" w:w="72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Feedback uniforme y reusable.</w:t>
            </w:r>
          </w:p>
        </w:tc>
      </w:tr>
      <w:tr>
        <w:trPr>
          <w:cantSplit/>
        </w:trPr>
        <w:tc>
          <w:tcPr>
            <w:tcW w:type="dxa" w:w="259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Toast/mensaje</w:t>
            </w:r>
          </w:p>
        </w:tc>
        <w:tc>
          <w:tcPr>
            <w:tcW w:type="dxa" w:w="72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Primitive común, no implementación diferente por módulo.</w:t>
            </w:r>
          </w:p>
        </w:tc>
      </w:tr>
      <w:tr>
        <w:trPr>
          <w:cantSplit/>
        </w:trPr>
        <w:tc>
          <w:tcPr>
            <w:tcW w:type="dxa" w:w="259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Estados administrativos</w:t>
            </w:r>
          </w:p>
        </w:tc>
        <w:tc>
          <w:tcPr>
            <w:tcW w:type="dxa" w:w="72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empty, loading, clean, dirty, conflict, success, error.</w:t>
            </w:r>
          </w:p>
        </w:tc>
      </w:tr>
      <w:tr>
        <w:trPr>
          <w:cantSplit/>
        </w:trPr>
        <w:tc>
          <w:tcPr>
            <w:tcW w:type="dxa" w:w="259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Paginación</w:t>
            </w:r>
          </w:p>
        </w:tc>
        <w:tc>
          <w:tcPr>
            <w:tcW w:type="dxa" w:w="72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Primitive reusable para colecciones largas e History.</w:t>
            </w:r>
          </w:p>
        </w:tc>
      </w:tr>
    </w:tbl>
    <w:p>
      <w:pPr>
        <w:spacing w:after="20"/>
      </w:pPr>
    </w:p>
    <w:p>
      <w:pPr>
        <w:pStyle w:val="Heading2"/>
      </w:pPr>
      <w:r>
        <w:t>6.2 Paginación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está en el Manager multi-stage y debe recuperarse desde atlanticus-last-version como capability, no como rollback del módulo completo.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Consolidar la lógica duplicada de Users/Navigation en un primitive genérico.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Aplicable a Users, Navigation, Tools, KPI definitions, History y Activity analytics.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Comenzar simple: Anterior / Página X de Y / Siguiente; no introducir virtual scrolling o infinite scroll sin necesidad real.</w:t>
      </w:r>
    </w:p>
    <w:p>
      <w:pPr>
        <w:pStyle w:val="Heading1"/>
      </w:pPr>
      <w:r>
        <w:t>7. Integraciones administrativas que deben quedar cerradas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800"/>
        <w:gridCol w:w="2880"/>
        <w:gridCol w:w="3240"/>
      </w:tblGrid>
      <w:tr>
        <w:trPr>
          <w:tblHeader w:val="true"/>
          <w:cantSplit/>
        </w:trPr>
        <w:tc>
          <w:tcPr>
            <w:tcW w:type="dxa" w:w="257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Superficie</w:t>
            </w:r>
          </w:p>
        </w:tc>
        <w:tc>
          <w:tcPr>
            <w:tcW w:type="dxa" w:w="257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Ownership</w:t>
            </w:r>
          </w:p>
        </w:tc>
        <w:tc>
          <w:tcPr>
            <w:tcW w:type="dxa" w:w="257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Base a rescatar</w:t>
            </w:r>
          </w:p>
        </w:tc>
        <w:tc>
          <w:tcPr>
            <w:tcW w:type="dxa" w:w="257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Resultado objetivo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Users + Manager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 Web</w:t>
            </w:r>
          </w:p>
        </w:tc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multi-stage</w:t>
            </w:r>
          </w:p>
        </w:tc>
        <w:tc>
          <w:tcPr>
            <w:tcW w:type="dxa" w:w="324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Usuarios/perfiles/asignaciones con UX común y pagination.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Navigation + Manager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 Web</w:t>
            </w:r>
          </w:p>
        </w:tc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multi-stage</w:t>
            </w:r>
          </w:p>
        </w:tc>
        <w:tc>
          <w:tcPr>
            <w:tcW w:type="dxa" w:w="324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Configuración + autorización + acceso directo/menú coherentes.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Tools + Manager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ADA genérico</w:t>
            </w:r>
          </w:p>
        </w:tc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multi-stage composition + contratos actuales</w:t>
            </w:r>
          </w:p>
        </w:tc>
        <w:tc>
          <w:tcPr>
            <w:tcW w:type="dxa" w:w="324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Branding, Sources, Participation y Topology actuales bajo Manager común.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KPI Configuration + Manager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ADA genérico</w:t>
            </w:r>
          </w:p>
        </w:tc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multi-stage composition + Tool Projection actual</w:t>
            </w:r>
          </w:p>
        </w:tc>
        <w:tc>
          <w:tcPr>
            <w:tcW w:type="dxa" w:w="324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Destinos desde proyección actual; no resurrectar ToolTarget obsoleto.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Activity + Manager/analytics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 Web</w:t>
            </w:r>
          </w:p>
        </w:tc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multi-stage Activity</w:t>
            </w:r>
          </w:p>
        </w:tc>
        <w:tc>
          <w:tcPr>
            <w:tcW w:type="dxa" w:w="324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Uso/sesiones/rutas/tiempo activo con surface paginada cuando corresponda.</w:t>
            </w:r>
          </w:p>
        </w:tc>
      </w:tr>
    </w:tbl>
    <w:p>
      <w:pPr>
        <w:spacing w:after="20"/>
      </w:pPr>
    </w:p>
    <w:p>
      <w:pPr>
        <w:pStyle w:val="Heading1"/>
      </w:pPr>
      <w:r>
        <w:t>8. Runtime Web genérico que falta integrar</w:t>
      </w:r>
    </w:p>
    <w:p>
      <w:pPr>
        <w:pStyle w:val="Heading2"/>
      </w:pPr>
      <w:r>
        <w:t>8.1 Auto-refresh operacional cada 2 horas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JS genérico de ADA, no específico de Integrated Operations.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Aplicar sólo a la superficie operacional/root; no recargar Manager.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Comprobar el plazo periódicamente y postergar reload si la pestaña está oculta.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Al volver a visible después de vencer el plazo, recargar.</w:t>
      </w:r>
    </w:p>
    <w:p>
      <w:pPr>
        <w:pStyle w:val="Heading2"/>
      </w:pPr>
      <w:r>
        <w:t>8.2 PWA: manifest + service worker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Recuperar manifest.webmanifest, service-worker.js, registro y versionado de cache desde las aplicaciones publicadas.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hardcodear nombre, short_name, iconos ni cache keys de una Tool concreta.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Derivar metadata desde aplicación/branding.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cachear APIs, callbacks Dash ni contenido operacional que deba ser fresco.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Servir manifest/service worker con comportamiento de cache explícito y seguro.</w:t>
      </w:r>
    </w:p>
    <w:p>
      <w:pPr>
        <w:pStyle w:val="Heading2"/>
      </w:pPr>
      <w:r>
        <w:t>8.3 Hosting/Gunicorn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Rescatar resolve_gunicorn_capacity() y cálculo por CPU/RAM/cgroups desde multi-stage.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Mantener callable/master liviano; warmup post_worker_init y close/flush en worker_exit.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crear clientes globales antes del fork.</w:t>
      </w:r>
    </w:p>
    <w:p>
      <w:pPr>
        <w:pStyle w:val="Heading1"/>
      </w:pPr>
      <w:r>
        <w:t>9. Responsive genérico antes del repositorio específico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rPr>
          <w:tblHeader w:val="true"/>
          <w:cantSplit/>
        </w:trPr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Debe quedar cerrado antes de IO específica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Header</w:t>
            </w:r>
          </w:p>
        </w:tc>
        <w:tc>
          <w:tcPr>
            <w:tcW w:type="dxa" w:w="69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Responsive real en desktop amplio/reducido, tablet y mobile; sin overflow, solapamientos ni controles inaccesibles.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Time View / Time Status</w:t>
            </w:r>
          </w:p>
        </w:tc>
        <w:tc>
          <w:tcPr>
            <w:tcW w:type="dxa" w:w="691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Densidad y layout responsive coherentes con Header y Generic Application.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Manager</w:t>
            </w:r>
          </w:p>
        </w:tc>
        <w:tc>
          <w:tcPr>
            <w:tcW w:type="dxa" w:w="69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Responsive completo y compatible con pagination, feedback, estados y navegación administrativa.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Card Display</w:t>
            </w:r>
          </w:p>
        </w:tc>
        <w:tc>
          <w:tcPr>
            <w:tcW w:type="dxa" w:w="691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Primitive adaptable a ancho/alto y preparado para tokens de escala/densidad.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7F6000"/>
                <w:sz w:val="20"/>
              </w:rPr>
              <w:t>Regla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No usar CSS específico de Integrated Operations para compensar deudas responsive de Header, Time View, Manager o Card Display.</w:t>
            </w:r>
          </w:p>
        </w:tc>
      </w:tr>
    </w:tbl>
    <w:p>
      <w:pPr>
        <w:spacing w:after="20"/>
      </w:pPr>
    </w:p>
    <w:p>
      <w:pPr>
        <w:pStyle w:val="Heading1"/>
      </w:pPr>
      <w:r>
        <w:t>10. Card Display genérico y retirada de Body Projection</w:t>
      </w:r>
    </w:p>
    <w:p>
      <w:pPr>
        <w:pStyle w:val="Heading2"/>
      </w:pPr>
      <w:r>
        <w:t>10.1 BODY-PROJECTION-001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CE4D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9C0006"/>
                <w:sz w:val="20"/>
              </w:rPr>
              <w:t>Debe retirarse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BODY-PROJECTION-001 ya fue aplicado, pero se decidió eliminarlo porque puede duplicar identidades/wrapper bindings que deben provenir de Tool Projection. No construir nuevas capas encima antes de retirarlo.</w:t>
            </w:r>
          </w:p>
        </w:tc>
      </w:tr>
    </w:tbl>
    <w:p>
      <w:pPr>
        <w:spacing w:after="20"/>
      </w:pP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crear un nuevo “Body Contract” para reemplazarlo.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Tool Projection debe seguir siendo autoridad de component/subcomponent identities y runtime bindings.</w:t>
      </w:r>
    </w:p>
    <w:p>
      <w:pPr>
        <w:pStyle w:val="Heading2"/>
      </w:pPr>
      <w:r>
        <w:t>10.2 Card Display reusable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EF5FB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pStyle w:val="Diagram"/>
            </w:pPr>
            <w:r>
              <w:rPr>
                <w:rFonts w:ascii="Liberation Mono" w:hAnsi="Liberation Mono"/>
                <w:color w:val="1F1F1F"/>
                <w:sz w:val="16"/>
              </w:rPr>
              <w:t>Tool Projection</w:t>
              <w:br/>
              <w:t xml:space="preserve">   │</w:t>
              <w:br/>
              <w:t xml:space="preserve">   ├─ component_key</w:t>
              <w:br/>
              <w:t xml:space="preserve">   ├─ wrapper_id / binding</w:t>
              <w:br/>
              <w:t xml:space="preserve">   ├─ subcomponent bindings</w:t>
              <w:br/>
              <w:t xml:space="preserve">   └─ futuros stores runtime</w:t>
              <w:br/>
              <w:t xml:space="preserve">            │</w:t>
              <w:br/>
              <w:t xml:space="preserve">            ▼</w:t>
              <w:br/>
              <w:t xml:space="preserve">      CARD DISPLAY GENÉRICO</w:t>
              <w:br/>
              <w:t xml:space="preserve">      ├─ wrapper externo</w:t>
              <w:br/>
              <w:t xml:space="preserve">      ├─ content</w:t>
              <w:br/>
              <w:t xml:space="preserve">      ├─ subcomponent regions</w:t>
              <w:br/>
              <w:t xml:space="preserve">      ├─ footer</w:t>
              <w:br/>
              <w:t xml:space="preserve">      ├─ overlay visual</w:t>
              <w:br/>
              <w:t xml:space="preserve">      └─ scale / density CSS contract</w:t>
              <w:br/>
            </w:r>
          </w:p>
        </w:tc>
      </w:tr>
    </w:tbl>
    <w:p>
      <w:pPr>
        <w:spacing w:after="20"/>
      </w:pP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Card Display no conoce PROCESS, INTEGRATED_OPERATIONS, Mina, Planta, Puerto, Carguío o Transporte.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persistir renderer/card type de IO dentro de Tool Configuration.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Debe poder recibir estados visuales desde contratos externos sin inferirlos por strings como “En construcción”.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Debe exponer tokens/variables CSS para que una composición específica pueda escalar contenido en zoom/videowall sin CSS por componente.</w:t>
      </w:r>
    </w:p>
    <w:p>
      <w:pPr>
        <w:pStyle w:val="Heading1"/>
      </w:pPr>
      <w:r>
        <w:t>11. Contratos ADA ya cerrados que condicionan la siguiente fase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800"/>
        <w:gridCol w:w="5112"/>
      </w:tblGrid>
      <w:tr>
        <w:trPr>
          <w:tblHeader w:val="true"/>
          <w:cantSplit/>
        </w:trPr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Contrato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Decisión relevante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Tool Sources / Participation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Cerrado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Sources reales + CONTROL/OBSERVATION; PI explícito; Dispatch opcional.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Tool Structure Topology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Cerrado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N components en IO; Process LEFT/CENTER/RIGHT/BOTTOM; shared subcomponents mediante linked_component_keys.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Alarm Baseline Projection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Cerrado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Process → 1 punto CENTER; IO → un punto por component configurado.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Alarm Baseline Surface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Cerrado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Primitive neutral; no collector/cards/modals/alarm payload todavía.</w:t>
            </w:r>
          </w:p>
        </w:tc>
      </w:tr>
      <w:tr>
        <w:trPr>
          <w:cantSplit/>
        </w:trPr>
        <w:tc>
          <w:tcPr>
            <w:tcW w:type="dxa" w:w="28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Body Projection</w:t>
            </w:r>
          </w:p>
        </w:tc>
        <w:tc>
          <w:tcPr>
            <w:tcW w:type="dxa" w:w="180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Aplicado pero superseded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Retirar antes de retomar Body específico.</w:t>
            </w:r>
          </w:p>
        </w:tc>
      </w:tr>
    </w:tbl>
    <w:p>
      <w:pPr>
        <w:spacing w:after="20"/>
      </w:pP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El track de Alarmas queda detenido en baseline hasta que exista contrato real de datos para collector/cards/modals.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El baseline genérico conserva identidades; la geometría física final se alinea en la composición específica de Tool.</w:t>
      </w:r>
    </w:p>
    <w:p>
      <w:pPr>
        <w:pStyle w:val="Heading1"/>
      </w:pPr>
      <w:r>
        <w:t>12. Frontera futura: repositorio específico de Integrated Operations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7F6000"/>
                <w:sz w:val="20"/>
              </w:rPr>
              <w:t>No crear todavía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El repositorio específico se crea sólo después de cerrar la plataforma genérica y sus gates E2E.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rPr>
          <w:tblHeader w:val="true"/>
          <w:cantSplit/>
        </w:trPr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Responsabilidad específica</w:t>
            </w:r>
          </w:p>
        </w:tc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Razón para quedar fuera de Atlanticus/ADA genérico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Geometría y orden concretos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Otra Integrated Operations puede tener 5, 6, 9 o N componentes y otra disposición.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Mina / Planta / Puerto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Agrupación visual propia de la Tool desplegada.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Carguío + Transporte especial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Track/columna compartida y comportamiento visual particular.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Shared subcomponent visual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La topología compartida es genérica; su materialización visual concreta no.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Zoom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Rearma/expande una composición concreta; no es una capability universal de IO.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Videowall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Modo de presentación exclusivo de esta Tool.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Body responsive específico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Responde a la geometría real de la Tool, apoyándose en primitives genéricos ya responsive.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Baseline físico alineado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Debe compartir la misma geometría concreta del Body, no distribuir puntos uniformemente por contrato genérico.</w:t>
            </w:r>
          </w:p>
        </w:tc>
      </w:tr>
      <w:tr>
        <w:trPr>
          <w:cantSplit/>
        </w:trPr>
        <w:tc>
          <w:tcPr>
            <w:tcW w:type="dxa" w:w="3168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Callbacks/presentación</w:t>
            </w:r>
          </w:p>
        </w:tc>
        <w:tc>
          <w:tcPr>
            <w:tcW w:type="dxa" w:w="662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Conectan stores y piezas visuales propias de la composición concreta.</w:t>
            </w:r>
          </w:p>
        </w:tc>
      </w:tr>
    </w:tbl>
    <w:p>
      <w:pPr>
        <w:spacing w:after="20"/>
      </w:pPr>
    </w:p>
    <w:p>
      <w:pPr>
        <w:pStyle w:val="Heading2"/>
      </w:pPr>
      <w:r>
        <w:t>12.1 Estados visuales de componentes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La Tool específica debe marcar componentes según freshness/degradación/error/construction usando identidades contractuales existentes.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duplicar Content State, Time Status o Display Status con un nuevo contrato de estado exclusivo de Card Display.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Stale/data error deben provenir de contratos de datos/estado; “En construcción” puede ser decisión explícita de presentación/configuración de la Tool.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Card Display sólo materializa overlay/estado recibido; no decide por qué existe.</w:t>
      </w:r>
    </w:p>
    <w:p>
      <w:pPr>
        <w:pStyle w:val="Heading2"/>
      </w:pPr>
      <w:r>
        <w:t>12.2 Zoom y contrato CSS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La lógica de zoom queda en Integrated Operations.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Atlanticus/ADA genérico sólo debe proporcionar tokens/classes/variables de escala y densidad que permitan agrandar typography, spacing, icons y contenido interno de Card Display.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crear callbacks visuales hardcodeados por componente para escalar contenido.</w:t>
      </w:r>
    </w:p>
    <w:p>
      <w:pPr>
        <w:pStyle w:val="Heading2"/>
      </w:pPr>
      <w:r>
        <w:t>12.3 Videowall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Videowall queda específico de Integrated Operations.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Si videowall revela una necesidad transversal para Header/Time Status, promover únicamente el primitive/token reusable, no el modo videowall completo.</w:t>
      </w:r>
    </w:p>
    <w:p>
      <w:pPr>
        <w:pStyle w:val="Heading1"/>
      </w:pPr>
      <w:r>
        <w:t>13. Roadmap canónico antes de crear Integrated Operations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CLEANUP — retirar BODY-PROJECTION-001 y comprobar que Tool Projection siga siendo autoridad única de bindings.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WEB-ENV — crear Web Environment/settings tipados (preferencia: pydantic-settings), separado de atlanticus-configuration.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OBS-UNIFICATION — conectar Web Observability al exporter observability-azure común, con política WARNING+ y contexto/correlación compartidos.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WEB-APP-INSIGHTS — integrar Application Insights browser opcional sin reemplazar User Activity.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HOSTING — migrar capacidad Gunicorn automática + lifecycle por worker desde multi-stage.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PWA — extraer manifest/service worker genéricos y metadata configurable.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ADA-RUNTIME-JS — integrar auto-refresh operacional de 2 horas visibility-aware.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ACTIVITY — recuperar User Activity + navigation-activity desde multi-stage.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CARD-DISPLAY — consolidar primitive genérico y contrato CSS scale/density.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RESPONSIVE-HEADER — cerrar Header desktop/tablet/mobile.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RESPONSIVE-TIME — cerrar Time View/Time Status.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MANAGER-UX — mantener Manager multi-stage y completar responsive, busy lock, spinner y feedback.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MANAGER-PAGINATION — rescatar pagination desde atlanticus-last y convertirla en primitive transversal.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USERS + MANAGER — integrar sobre Manager común.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NAVIGATION + MANAGER — integrar sobre Manager común y mantener autorización coherente.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TOOLS + MANAGER — adaptar composition multi-stage a Sources/Participation/Topology actuales.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KPI CONFIGURATION + MANAGER — adaptar al Tool Projection actual.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ACTIVITY ANALYTICS / USAGE — integrar surface/pagination cuando corresponda.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GENERIC ADA E2E — validar Operational + Administration + auth + activity + observability + PWA + responsive + UX común.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PLATFORM FREEZE — congelar base genérica.</w:t>
      </w:r>
    </w:p>
    <w:p>
      <w:pPr>
        <w:pStyle w:val="ListNumber"/>
        <w:spacing w:after="36"/>
      </w:pPr>
      <w:r>
        <w:rPr>
          <w:rFonts w:ascii="Liberation Sans" w:hAnsi="Liberation Sans"/>
          <w:sz w:val="20"/>
        </w:rPr>
        <w:t>CREATE TOOL REPO — recién entonces crear Integrated Operations específica y comenzar Body/composición concreta.</w:t>
      </w:r>
    </w:p>
    <w:p>
      <w:pPr>
        <w:pStyle w:val="Heading1"/>
      </w:pPr>
      <w:r>
        <w:t>14. Criterios de cierre de la plataforma genérica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Gate mínimo antes de repo específico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Arquitectura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Sin dependencias inversas desde Atlanticus/ADA genérico hacia nombres/geometrías de Integrated Operations.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Manager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Tools, KPI, Users y Navigation comparten mismo lifecycle, UX async, feedback, pagination y responsive.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Responsive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Header, Time View/Time Status, Manager y Card Display validados en breakpoints acordados.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Observability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Kernel + Web convergen en un exporter Azure; WARNING+ en producción; sin doble envío.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Activity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Session/activity tracking integrado con Navigation e Identity.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PWA/runtime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Manifest, service worker y refresh 2 h integrados y configurables.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Hosting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Gunicorn capacity + worker warmup/close integrados.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ADA contracts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Tool Configuration/Projection y Alarm Baseline estables; Body Projection retirado.</w:t>
            </w:r>
          </w:p>
        </w:tc>
      </w:tr>
      <w:tr>
        <w:trPr>
          <w:cantSplit/>
        </w:trPr>
        <w:tc>
          <w:tcPr>
            <w:tcW w:type="dxa" w:w="223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E2E</w:t>
            </w:r>
          </w:p>
        </w:tc>
        <w:tc>
          <w:tcPr>
            <w:tcW w:type="dxa" w:w="756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Una sola Generic ADA Application opera y administra sin requerir código específico de IO.</w:t>
            </w:r>
          </w:p>
        </w:tc>
      </w:tr>
    </w:tbl>
    <w:p>
      <w:pPr>
        <w:spacing w:after="20"/>
      </w:pPr>
    </w:p>
    <w:p>
      <w:pPr>
        <w:pStyle w:val="Heading1"/>
      </w:pPr>
      <w:r>
        <w:t>15. Protocolo obligatorio al cambiar de chat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CE4D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9C0006"/>
                <w:sz w:val="20"/>
              </w:rPr>
              <w:t>Regla de continuidad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Al iniciar un chat nuevo o retomar el proyecto fuera de esta conversación, se deben volver a enviar los cinco artefactos/repositories de referencia. No se debe continuar sólo desde memoria.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3816"/>
        <w:gridCol w:w="5472"/>
      </w:tblGrid>
      <w:tr>
        <w:trPr>
          <w:tblHeader w:val="true"/>
          <w:cantSplit/>
        </w:trPr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#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Artefacto obligatorio</w:t>
            </w:r>
          </w:p>
        </w:tc>
        <w:tc>
          <w:tcPr>
            <w:tcW w:type="dxa" w:w="3427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Para qué se usa</w:t>
            </w:r>
          </w:p>
        </w:tc>
      </w:tr>
      <w:tr>
        <w:trPr>
          <w:cantSplit/>
        </w:trPr>
        <w:tc>
          <w:tcPr>
            <w:tcW w:type="dxa" w:w="50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1</w:t>
            </w:r>
          </w:p>
        </w:tc>
        <w:tc>
          <w:tcPr>
            <w:tcW w:type="dxa" w:w="3816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atlanticus actual</w:t>
            </w:r>
          </w:p>
        </w:tc>
        <w:tc>
          <w:tcPr>
            <w:tcW w:type="dxa" w:w="547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Autoridad actual: contratos, paquetes y gates ya migrados.</w:t>
            </w:r>
          </w:p>
        </w:tc>
      </w:tr>
      <w:tr>
        <w:trPr>
          <w:cantSplit/>
        </w:trPr>
        <w:tc>
          <w:tcPr>
            <w:tcW w:type="dxa" w:w="50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2</w:t>
            </w:r>
          </w:p>
        </w:tc>
        <w:tc>
          <w:tcPr>
            <w:tcW w:type="dxa" w:w="3816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atlanticus-multi-stage</w:t>
            </w:r>
          </w:p>
        </w:tc>
        <w:tc>
          <w:tcPr>
            <w:tcW w:type="dxa" w:w="547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Cantera principal de capacidades refinadas e integradas.</w:t>
            </w:r>
          </w:p>
        </w:tc>
      </w:tr>
      <w:tr>
        <w:trPr>
          <w:cantSplit/>
        </w:trPr>
        <w:tc>
          <w:tcPr>
            <w:tcW w:type="dxa" w:w="50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3</w:t>
            </w:r>
          </w:p>
        </w:tc>
        <w:tc>
          <w:tcPr>
            <w:tcW w:type="dxa" w:w="3816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atlanticus-latest / atlanticus-last-version</w:t>
            </w:r>
          </w:p>
        </w:tc>
        <w:tc>
          <w:tcPr>
            <w:tcW w:type="dxa" w:w="547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Versión anterior para rescatar capacidades desaparecidas, nunca para retroceder contratos.</w:t>
            </w:r>
          </w:p>
        </w:tc>
      </w:tr>
      <w:tr>
        <w:trPr>
          <w:cantSplit/>
        </w:trPr>
        <w:tc>
          <w:tcPr>
            <w:tcW w:type="dxa" w:w="504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4</w:t>
            </w:r>
          </w:p>
        </w:tc>
        <w:tc>
          <w:tcPr>
            <w:tcW w:type="dxa" w:w="3816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Integrated Operations publicada/legacy actual</w:t>
            </w:r>
          </w:p>
        </w:tc>
        <w:tc>
          <w:tcPr>
            <w:tcW w:type="dxa" w:w="547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7"/>
              </w:rPr>
              <w:t>Referencia de comportamiento, geometría, PWA, zoom, videowall y piezas todavía no modularizadas.</w:t>
            </w:r>
          </w:p>
        </w:tc>
      </w:tr>
      <w:tr>
        <w:trPr>
          <w:cantSplit/>
        </w:trPr>
        <w:tc>
          <w:tcPr>
            <w:tcW w:type="dxa" w:w="504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5</w:t>
            </w:r>
          </w:p>
        </w:tc>
        <w:tc>
          <w:tcPr>
            <w:tcW w:type="dxa" w:w="3816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Flotación Selectiva publicada/legacy</w:t>
            </w:r>
          </w:p>
        </w:tc>
        <w:tc>
          <w:tcPr>
            <w:tcW w:type="dxa" w:w="547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Referencia Process y comportamiento histórico comparable.</w:t>
            </w:r>
          </w:p>
        </w:tc>
      </w:tr>
    </w:tbl>
    <w:p>
      <w:pPr>
        <w:spacing w:after="20"/>
      </w:pP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Si una capability no aparece en memoria o en el repo actual, primero revisar esta cadena antes de concluir que no existe.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Siempre preferir la generación más nueva que contenga el contrato; bajar de versión sólo para recuperar una capability faltante.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Cuando una capacidad antigua se rescata, adaptarla al contrato vigente y no importar módulos completos obsoletos.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Si se agrega una sexta fuente autoritativa en el futuro, actualizar este protocolo formalmente en el siguiente checkpoint.</w:t>
      </w:r>
    </w:p>
    <w:p>
      <w:pPr>
        <w:pStyle w:val="Heading1"/>
      </w:pPr>
      <w:r>
        <w:t>16. Evidencia revisada para este checkpoint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5112"/>
      </w:tblGrid>
      <w:tr>
        <w:trPr>
          <w:tblHeader w:val="true"/>
          <w:cantSplit/>
        </w:trPr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Artefacto / fuente</w:t>
            </w:r>
          </w:p>
        </w:tc>
        <w:tc>
          <w:tcPr>
            <w:tcW w:type="dxa" w:w="5141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Uso en este documento</w:t>
            </w:r>
          </w:p>
        </w:tc>
      </w:tr>
      <w:tr>
        <w:trPr>
          <w:cantSplit/>
        </w:trPr>
        <w:tc>
          <w:tcPr>
            <w:tcW w:type="dxa" w:w="46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atlanticus-latest-new-version-0001.zip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Estado de la migración actual/canónica disponible en esta sesión.</w:t>
            </w:r>
          </w:p>
        </w:tc>
      </w:tr>
      <w:tr>
        <w:trPr>
          <w:cantSplit/>
        </w:trPr>
        <w:tc>
          <w:tcPr>
            <w:tcW w:type="dxa" w:w="46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atlanticus-multi-stage-version-0.1.0-20260827-095802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Manager 0.3.12, Activity, Navigation compositions, Web Observability, observability-azure, Gunicorn y composiciones ADA.</w:t>
            </w:r>
          </w:p>
        </w:tc>
      </w:tr>
      <w:tr>
        <w:trPr>
          <w:cantSplit/>
        </w:trPr>
        <w:tc>
          <w:tcPr>
            <w:tcW w:type="dxa" w:w="46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atlanticus-last-version-0.1.0-20260824-191735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Cantera secundaria; pagination administrativa y capacidades previas desaparecidas.</w:t>
            </w:r>
          </w:p>
        </w:tc>
      </w:tr>
      <w:tr>
        <w:trPr>
          <w:cantSplit/>
        </w:trPr>
        <w:tc>
          <w:tcPr>
            <w:tcW w:type="dxa" w:w="46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ada-latest-legacy-version-0.1.0-20260830-100024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Integrated Operations publicada: comportamiento, PWA/runtime, geometría y UX específica.</w:t>
            </w:r>
          </w:p>
        </w:tc>
      </w:tr>
      <w:tr>
        <w:trPr>
          <w:cantSplit/>
        </w:trPr>
        <w:tc>
          <w:tcPr>
            <w:tcW w:type="dxa" w:w="46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flotacion-selectiva-last-version-0.1.0-20260730-203427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Referencia Process legacy.</w:t>
            </w:r>
          </w:p>
        </w:tc>
      </w:tr>
      <w:tr>
        <w:trPr>
          <w:cantSplit/>
        </w:trPr>
        <w:tc>
          <w:tcPr>
            <w:tcW w:type="dxa" w:w="4680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application_insights.js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  <w:shd w:fill="FAFAFA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Snippet Application Insights browser SDK 3.x basado en window.APPINSIGHTS_CONNECTION_STRING.</w:t>
            </w:r>
          </w:p>
        </w:tc>
      </w:tr>
      <w:tr>
        <w:trPr>
          <w:cantSplit/>
        </w:trPr>
        <w:tc>
          <w:tcPr>
            <w:tcW w:type="dxa" w:w="4680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Atlanticus_ADA_Transicion_Tool_Configuration_Tool_Structure_v1.0.0.docx</w:t>
            </w:r>
          </w:p>
        </w:tc>
        <w:tc>
          <w:tcPr>
            <w:tcW w:type="dxa" w:w="5112"/>
            <w:tcMar>
              <w:top w:w="62" w:type="dxa"/>
              <w:start w:w="80" w:type="dxa"/>
              <w:bottom w:w="62" w:type="dxa"/>
              <w:end w:w="80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Checkpoint previo de Tool Structure/Topology y frontera con Body/Alarm.</w:t>
            </w:r>
          </w:p>
        </w:tc>
      </w:tr>
    </w:tbl>
    <w:p>
      <w:pPr>
        <w:spacing w:after="20"/>
      </w:pPr>
    </w:p>
    <w:p>
      <w:pPr>
        <w:pStyle w:val="Heading2"/>
      </w:pPr>
      <w:r>
        <w:t>16.1 Capacidades confirmadas en multi-stage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atlanticus-web-manager==0.3.12.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atlanticus-web-users-activity==0.1.0 y navigation-activity composition.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ada-composition-configuration-manager==0.1.27 y ada-composition-manager-surface==0.1.3.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atlanticus-web-observability==0.1.0.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atlanticus-observability==0.5.0 y atlanticus-observability-azure==0.1.0.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observability-azure con modos off/preview/export y perfiles slim/diagnostic; SDK Azure aislado en ese wheel.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Gunicorn capacity/lifecycle refinado en artefactos web publicados desde multi-stage.</w:t>
      </w:r>
    </w:p>
    <w:p>
      <w:pPr>
        <w:pStyle w:val="Heading1"/>
      </w:pPr>
      <w:r>
        <w:t>17. Decisiones que quedan congeladas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No crear el repositorio específico de Integrated Operations hasta cerrar la plataforma genérica.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Retirar BODY-PROJECTION-001; Tool Projection conserva autoridad de identities/bindings.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Card Display será un primitive genérico; la composición IO vive en su repo.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Manager de multi-stage es autoridad; pagination se rescata/adapta desde atlanticus-last.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Web Environment será un contrato Web propio; atlanticus-configuration permanece backend/Key Vault.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Kernel Observability y Web Observability permanecen separados, pero exportan por un pipeline Azure común.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Azure remoto debe priorizar WARNING/ERROR/CRITICAL; no exportar éxitos rutinarios por defecto.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User Activity y Browser Application Insights son contratos distintos y complementarios.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Header, Time View/Time Status y Manager deben cerrar responsive antes de IO específica.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PWA, service worker, manifest, refresh de 2 horas y Gunicorn automático son parte de la base genérica.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Zoom, videowall, Body concreto, Mina/Planta/Puerto, Carguío+Transporte y baseline físico pertenecen a IO específica.</w:t>
      </w:r>
    </w:p>
    <w:p>
      <w:pPr>
        <w:pStyle w:val="ListBullet"/>
        <w:spacing w:after="36"/>
      </w:pPr>
      <w:r>
        <w:rPr>
          <w:rFonts w:ascii="Liberation Sans" w:hAnsi="Liberation Sans"/>
          <w:sz w:val="20"/>
        </w:rPr>
        <w:t>En cada chat nuevo se reenvían los cinco artefactos de continuidad antes de proponer cambios.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Liberation Sans" w:hAnsi="Liberation Sans"/>
                <w:b/>
                <w:color w:val="548235"/>
                <w:sz w:val="20"/>
              </w:rPr>
              <w:t>Siguiente movimiento recomendado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No implementar todavía Integrated Operations específica. El siguiente ciclo debe comenzar por CLEANUP de Body Projection y una auditoría/migración ordenada de las capabilities genéricas usando la jerarquía de autoridad definida aquí.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360"/>
          <w:tcMar>
            <w:top w:w="20" w:type="dxa"/>
            <w:start w:w="100" w:type="dxa"/>
            <w:bottom w:w="20" w:type="dxa"/>
            <w:end w:w="100" w:type="dxa"/>
          </w:tcMar>
        </w:tcPr>
        <w:p>
          <w:r>
            <w:rPr>
              <w:rFonts w:ascii="Liberation Sans" w:hAnsi="Liberation Sans"/>
              <w:color w:val="595959"/>
              <w:sz w:val="15"/>
            </w:rPr>
            <w:t>Plataforma genérica · fronteras · continuidad</w:t>
          </w:r>
        </w:p>
      </w:tc>
      <w:tc>
        <w:tcPr>
          <w:tcW w:type="dxa" w:w="3360"/>
          <w:tcMar>
            <w:top w:w="20" w:type="dxa"/>
            <w:start w:w="100" w:type="dxa"/>
            <w:bottom w:w="20" w:type="dxa"/>
            <w:end w:w="100" w:type="dxa"/>
          </w:tcMar>
        </w:tcPr>
        <w:p>
          <w:pPr>
            <w:jc w:val="center"/>
          </w:pPr>
          <w:r>
            <w:rPr>
              <w:rFonts w:ascii="Liberation Sans" w:hAnsi="Liberation Sans"/>
              <w:color w:val="595959"/>
              <w:sz w:val="15"/>
            </w:rPr>
            <w:t>v1.0.0</w:t>
          </w:r>
        </w:p>
      </w:tc>
      <w:tc>
        <w:tcPr>
          <w:tcW w:type="dxa" w:w="3360"/>
          <w:tcMar>
            <w:top w:w="20" w:type="dxa"/>
            <w:start w:w="100" w:type="dxa"/>
            <w:bottom w:w="20" w:type="dxa"/>
            <w:end w:w="100" w:type="dxa"/>
          </w:tcMar>
        </w:tcPr>
        <w:p>
          <w:pPr>
            <w:jc w:val="right"/>
          </w:pPr>
          <w:r>
            <w:rPr>
              <w:rFonts w:ascii="Liberation Sans" w:hAnsi="Liberation Sans"/>
              <w:color w:val="595959"/>
              <w:sz w:val="15"/>
            </w:rPr>
            <w:t xml:space="preserve">Página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2F5597"/>
        <w:sz w:val="16"/>
      </w:rPr>
      <w:t>ATLANTICUS / ADA · CHECKPOINT ARQUITECTÓNICO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">
    <w:name w:val="Diagram"/>
    <w:pPr>
      <w:spacing w:after="0" w:line="240" w:lineRule="auto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Atlanticus / ADA - Plataforma genérica, fronteras arquitectónicas y protocolo de continuidad</dc:title>
  <dc:subject>Checkpoint arquitectónico de transición previo a repositorios específicos de Tool</dc:subject>
  <dc:creator>OpenAI</dc:creator>
  <cp:keywords>Atlanticus, ADA, arquitectura, Manager, observability, continuidad, Integrated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