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widowControl/>
      </w:pPr>
      <w:r>
        <w:rPr>
          <w:rFonts w:ascii="Liberation Sans" w:hAnsi="Liberation Sans"/>
          <w:b/>
          <w:color w:val="2F5597"/>
          <w:sz w:val="24"/>
        </w:rPr>
        <w:t>ATLANTICUS / ADA</w:t>
      </w:r>
    </w:p>
    <w:p>
      <w:pPr>
        <w:pStyle w:val="Title"/>
        <w:jc w:val="center"/>
        <w:widowControl/>
      </w:pPr>
      <w:r>
        <w:rPr>
          <w:rFonts w:ascii="Liberation Sans" w:hAnsi="Liberation Sans"/>
          <w:b/>
          <w:color w:val="17365D"/>
          <w:sz w:val="50"/>
        </w:rPr>
        <w:t>Documento de transición</w:t>
        <w:br/>
        <w:t>Tool Configuration → Tool Structure</w:t>
      </w:r>
    </w:p>
    <w:p>
      <w:pPr>
        <w:jc w:val="center"/>
        <w:widowControl/>
      </w:pPr>
      <w:r>
        <w:rPr>
          <w:rFonts w:ascii="Liberation Sans" w:hAnsi="Liberation Sans"/>
          <w:color w:val="595959"/>
          <w:sz w:val="23"/>
        </w:rPr>
        <w:t>Checkpoint de continuidad técnica · Agosto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rPr>
          <w:cantSplit/>
        </w:trP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r>
              <w:rPr>
                <w:rFonts w:ascii="Liberation Sans" w:hAnsi="Liberation Sans"/>
                <w:color w:val="1F1F1F"/>
                <w:sz w:val="19"/>
              </w:rPr>
              <w:t>TRANSICIÓN CONTROLADA — listo para rediseñar TOOL-STRUCTURE-001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9"/>
              </w:rPr>
              <w:t>1.0.0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9"/>
              </w:rPr>
              <w:t>Post CONFIG-CLEANUP-001 + Manager Tools + AUTHORING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color w:val="1F1F1F"/>
                <w:sz w:val="19"/>
              </w:rPr>
              <w:t>Retomar el trabajo sin reconstruir decisiones, fronteras ni secuencia.</w:t>
            </w:r>
          </w:p>
        </w:tc>
      </w:tr>
    </w:tbl>
    <w:p>
      <w:pPr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9C0006"/>
                <w:sz w:val="21"/>
              </w:rPr>
              <w:t>Decisión crítica de transición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NO aplicar el artefacto anterior atlanticus-ada-tool-structure-contract-0.1.0.zip. Ese diseño quedó superseded. TOOL-STRUCTURE-001 debe rehacerse con la topología refinada descrita en este documento.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Contenido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1. Propósito y alcance del checkpoint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2. Estado actual validado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3. Decisiones de arquitectura ya cerradas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4. Diseño objetivo de Tool Structure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5. Semántica de Process e Integrated Operations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6. Consumidores de la topología: KPI, Alarm, stores y UI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7. Qué será automático y qué seguirá manual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8. Roadmap de continuación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9. Criterios de aceptación de TOOL-STRUCTURE-001</w:t>
      </w:r>
    </w:p>
    <w:p>
      <w:pPr>
        <w:spacing w:after="40"/>
        <w:ind w:left="288"/>
        <w:widowControl/>
      </w:pPr>
      <w:r>
        <w:rPr>
          <w:rFonts w:ascii="Liberation Sans" w:hAnsi="Liberation Sans"/>
          <w:color w:val="2F5597"/>
          <w:sz w:val="19"/>
        </w:rPr>
        <w:t>10. Riesgos, decisiones pendientes y reglas para el siguiente chat</w:t>
      </w:r>
    </w:p>
    <w:p>
      <w:pPr>
        <w:pStyle w:val="Heading1"/>
        <w:widowControl/>
      </w:pPr>
      <w:r>
        <w:t>1. Propósito y alcance del checkpoint</w:t>
      </w:r>
    </w:p>
    <w:p>
      <w:pPr>
        <w:widowControl/>
      </w:pPr>
      <w:r>
        <w:rPr>
          <w:rFonts w:ascii="Liberation Sans" w:hAnsi="Liberation Sans"/>
          <w:sz w:val="21"/>
        </w:rPr>
        <w:t xml:space="preserve">Este documento congela el contexto entre el cierre de Sources/Manager y el inicio del contrato estructural de Tools. </w:t>
      </w:r>
      <w:r>
        <w:rPr>
          <w:rFonts w:ascii="Liberation Sans" w:hAnsi="Liberation Sans"/>
          <w:b/>
          <w:sz w:val="21"/>
        </w:rPr>
        <w:t xml:space="preserve">No reemplaza los contratos cerrados ni define todavía la API final de TOOL-STRUCTURE-001. </w:t>
      </w:r>
      <w:r>
        <w:rPr>
          <w:rFonts w:ascii="Liberation Sans" w:hAnsi="Liberation Sans"/>
          <w:sz w:val="21"/>
        </w:rPr>
        <w:t>Su función es impedir que una conversación nueva reintroduzca decisiones descartadas o confunda topología, presentación y automatización.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Conservar el baseline validado de DATA-003/DATA-004, Manager Tools, Branding manual y AUTHORING.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Definir con precisión qué debe representar Tool Structure y qué no.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Alinear Process e Integrated Operations con el comportamiento real del legacy sin hardcodear el deployment actual.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Establecer cómo la misma topología será consumida por KPI Configuration, Alarm Configuration/Runtime, collectors/stores y UI composition.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Fijar la secuencia de implementación posterior para evitar sobreingeniería y contratos redundantes.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Principio rector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Una única topología de Tool debe proporcionar identidades estables y relaciones consistentes a todas las capas. El contrato ayuda a conectar las piezas; no obliga a que toda la UI sea generada automáticamente.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2. Estado actual validado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944"/>
        <w:gridCol w:w="4680"/>
      </w:tblGrid>
      <w:tr>
        <w:trPr>
          <w:cantSplit/>
        </w:trPr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Resultado vigente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DATA-003 — Tool Source Consumption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CERRADO / VERDE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Pertenencia explícita de sources por Tool.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DATA-004 — Operational Participation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CERRADO / VERDE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CONTROL + thresholds; Additional Observation; Time Status/Content State integrados.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DATA-004C/D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CERRADO / VERDE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Tool Configuration persiste Sources y existe editor reusable.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Manager Tools Base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CERRADO / VERDE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/manager/tools base; Branding draft + Sources Editor.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Application AUTHORING Mode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CERRADO / VERDE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Overlay Content State puede suprimirse desde código sin falsear estado.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CONFIG-CLEANUP-001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CERRADO / VERDE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Sources consolidados en un solo wheel; consumidores alineados.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TOOL-STRUCTURE-001 anterior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SUPERSEDED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No aplicar; debe rediseñarse con este checkpoint.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</w:pPr>
      <w:r>
        <w:t>2.1 Packages relevantes en el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1224"/>
        <w:gridCol w:w="4104"/>
      </w:tblGrid>
      <w:tr>
        <w:trPr>
          <w:cantSplit/>
        </w:trPr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ada-configuration-tool-sources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0.1.0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Consumption + Operational Participation.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ada-configuration-tools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0.2.1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Aggregate persistible de Tool; Sources integradas.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ada-web-tool-configuration-editor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0.1.1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Editor reusable de Sources.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ada-web-configuration-manager-tools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0.1.1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Base de /manager/tools.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ada-configuration-branding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0.1.0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Variante manual de branding, transversal.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ada-web-ui-content-state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0.1.5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NORMAL/AUTHORING presentation mode.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ada-generic-application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0.2.2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Composición genérica actual.</w:t>
            </w:r>
          </w:p>
        </w:tc>
      </w:tr>
      <w:tr>
        <w:trPr>
          <w:cantSplit/>
        </w:trPr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ada-web-content-state-dependency-resolver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0.2.0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Resolver genérico sin catálogo CONTROL hardcodeado.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1"/>
              </w:rPr>
              <w:t>Importante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Tool Configuration todavía NO contiene Tool Structure en este baseline. La estructura debe incorporarse únicamente después de rehacer TOOL-STRUCTURE-001 con las invariantes de este documento.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3. Decisiones de arquitectura ya cerradas</w:t>
      </w:r>
    </w:p>
    <w:p>
      <w:pPr>
        <w:pStyle w:val="Heading2"/>
        <w:widowControl/>
      </w:pPr>
      <w:r>
        <w:t>3.1 Sources y Time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Tool Configuration</w:t>
              <w:br/>
              <w:t xml:space="preserve">      |</w:t>
              <w:br/>
              <w:t xml:space="preserve">      +-- Consumption  (qué consume)</w:t>
              <w:br/>
              <w:t xml:space="preserve">      |</w:t>
              <w:br/>
              <w:t xml:space="preserve">      +-- CONTROL      (qué degrada + thresholds)</w:t>
              <w:br/>
              <w:t xml:space="preserve">      |</w:t>
              <w:br/>
              <w:t xml:space="preserve">      +-- Additional Observation</w:t>
              <w:br/>
              <w:t xml:space="preserve">              |</w:t>
              <w:br/>
              <w:t xml:space="preserve">              v</w:t>
              <w:br/>
              <w:t>Effective Observation = CONTROL + Additional Observation</w:t>
            </w:r>
          </w:p>
        </w:tc>
      </w:tr>
    </w:tbl>
    <w:p>
      <w:pPr>
        <w:spacing w:after="20"/>
        <w:widowControl/>
      </w:pP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PI es CONTROL explícito obligatorio para las Tools ADA operacionales actuales.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Dispatch es CONTROL explícito opcional; si se consume, debe estar configurado como CONTROL.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Los thresholds de CONTROL son la única autoridad de pre-degrading/degrading; Time Status los consume, no los redefine.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Las Additional Observations no degradan la aplicación por sí mismas.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existe catálogo global de source_keys; futuras sources no requieren modificar el package base.</w:t>
      </w:r>
    </w:p>
    <w:p>
      <w:pPr>
        <w:pStyle w:val="Heading2"/>
        <w:widowControl/>
      </w:pPr>
      <w:r>
        <w:t>3.2 Branding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Branding es configuración transversal separada de Tool Configuration.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 variante se selecciona manualmente desde Manager; no existe automatización por fecha.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Variantes previstas: original, mining_month, fiestas_patrias, christmas, new_year.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 configuración guarda identidad de variante, no rutas de archivos ni lógica de assets.</w:t>
      </w:r>
    </w:p>
    <w:p>
      <w:pPr>
        <w:pStyle w:val="Heading2"/>
        <w:widowControl/>
      </w:pPr>
      <w:r>
        <w:t>3.3 AUTHORING mode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AUTHORING se activa explícitamente desde código; no depende de localhost ni del ambiente.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altera Content State, freshness ni datos: únicamente suprime el overlay de presentación.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aparece como botón/configuración persistible en Manager.</w:t>
      </w:r>
    </w:p>
    <w:p>
      <w:pPr>
        <w:pStyle w:val="Heading2"/>
        <w:widowControl/>
      </w:pPr>
      <w:r>
        <w:t>3.4 Capabilities base de una Tool</w:t>
      </w:r>
    </w:p>
    <w:p>
      <w:pPr>
        <w:widowControl/>
      </w:pPr>
      <w:r>
        <w:rPr>
          <w:rFonts w:ascii="Liberation Sans" w:hAnsi="Liberation Sans"/>
          <w:sz w:val="21"/>
        </w:rPr>
        <w:t xml:space="preserve">Al crear una Tool, las capacidades transversales como </w:t>
      </w:r>
      <w:r>
        <w:rPr>
          <w:rFonts w:ascii="Liberation Sans" w:hAnsi="Liberation Sans"/>
          <w:b/>
          <w:color w:val="2F5597"/>
          <w:sz w:val="21"/>
        </w:rPr>
        <w:t>Global Indicators y Time Status</w:t>
      </w:r>
      <w:r>
        <w:rPr>
          <w:rFonts w:ascii="Liberation Sans" w:hAnsi="Liberation Sans"/>
          <w:sz w:val="21"/>
        </w:rPr>
        <w:t xml:space="preserve"> forman parte del baseline de aplicación/composición. La topología de componentes y subcomponentes se incorpora después para la aplicación concreta.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Alarm Status / Alarm Management del header no deben transformarse en una lista manual de componentes de Tool.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Tool Structure se ocupará de la topología operacional que comparten KPI, Alarm Surface y Body; no del header genérico.</w:t>
      </w:r>
    </w:p>
    <w:p>
      <w:pPr>
        <w:pStyle w:val="Heading1"/>
        <w:widowControl/>
      </w:pPr>
      <w:r>
        <w:t>4. Diseño objetivo de Tool Structure</w:t>
      </w:r>
    </w:p>
    <w:p>
      <w:pPr>
        <w:widowControl/>
      </w:pPr>
      <w:r>
        <w:rPr>
          <w:rFonts w:ascii="Liberation Sans" w:hAnsi="Liberation Sans"/>
          <w:sz w:val="21"/>
        </w:rPr>
        <w:t xml:space="preserve">Tool Structure debe ser un contrato de </w:t>
      </w:r>
      <w:r>
        <w:rPr>
          <w:rFonts w:ascii="Liberation Sans" w:hAnsi="Liberation Sans"/>
          <w:b/>
          <w:color w:val="2F5597"/>
          <w:sz w:val="21"/>
        </w:rPr>
        <w:t>identidades y topología</w:t>
      </w:r>
      <w:r>
        <w:rPr>
          <w:rFonts w:ascii="Liberation Sans" w:hAnsi="Liberation Sans"/>
          <w:sz w:val="21"/>
        </w:rPr>
        <w:t>, no un DSL de layout ni un generador automático de Dash/HTML.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Tool Structure / Topology</w:t>
              <w:br/>
              <w:t xml:space="preserve">        |</w:t>
              <w:br/>
              <w:t xml:space="preserve">        +-- Tool kind</w:t>
              <w:br/>
              <w:t xml:space="preserve">        +-- Components (cajas / destinos lógicos)</w:t>
              <w:br/>
              <w:t xml:space="preserve">        |      |</w:t>
              <w:br/>
              <w:t xml:space="preserve">        |      +-- key</w:t>
              <w:br/>
              <w:t xml:space="preserve">        |      +-- display_name</w:t>
              <w:br/>
              <w:t xml:space="preserve">        |      +-- scope / layout_role cuando corresponda</w:t>
              <w:br/>
              <w:t xml:space="preserve">        |      +-- Subcomponents</w:t>
              <w:br/>
              <w:t xml:space="preserve">        |</w:t>
              <w:br/>
              <w:t xml:space="preserve">        +-- Shared relations</w:t>
              <w:br/>
              <w:t xml:space="preserve">               +-- linked_component_keys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</w:pPr>
      <w:r>
        <w:t>4.1 Semántica de Component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Es una caja/destino lógico principal de la Tool.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Proporciona una identidad estable para KPI Configuration y para el nivel grueso de Alarm/Presentation.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Puede definir el punto del Alarm Surface baseline.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debe confundirse automáticamente con una zona visual pintable; la zona fina de alarma corresponde a subcomponentes.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debe almacenar renderer, CSS, callback, store_id ni geometría visual.</w:t>
      </w:r>
    </w:p>
    <w:p>
      <w:pPr>
        <w:pStyle w:val="Heading2"/>
        <w:widowControl/>
      </w:pPr>
      <w:r>
        <w:t>4.2 Semántica de Subcomponent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Es la identidad fina que Alarm puede marcar/pintar dentro de un Component.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crea por sí solo un nuevo punto del baseline.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Puede existir un único subcomponent que visualmente ocupe el 100% de su Component.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Puede existir como identidad compartida entre componentes mediante linked_component_keys, sin duplicarse.</w:t>
      </w:r>
    </w:p>
    <w:p>
      <w:pPr>
        <w:pStyle w:val="Heading2"/>
        <w:widowControl/>
      </w:pPr>
      <w:r>
        <w:t>4.3 Relación compartida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Component A                         Component B</w:t>
              <w:br/>
              <w:t xml:space="preserve">    |                                   |</w:t>
              <w:br/>
              <w:t xml:space="preserve">    +-- Subcomponent X  ----------------+</w:t>
              <w:br/>
              <w:t xml:space="preserve">        owner: A</w:t>
              <w:br/>
              <w:t xml:space="preserve">        linked_component_keys: (B,)</w:t>
              <w:br/>
              <w:br/>
              <w:t>Una identidad X; dos relaciones. NO crear A/X y B/X como copias independientes.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4DF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5F497A"/>
                <w:sz w:val="21"/>
              </w:rPr>
              <w:t>Ejemplo legacy que debe preservar la semántica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El legacy incluye un caso donde un subcomponente de Carguío está también vinculado con Transporte. La solución correcta es conservar una única identidad y linked_component_keys; no crear otra relación paralela ni duplicar el subcomponente.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5. Semántica de Process e Integrated Operations</w:t>
      </w:r>
    </w:p>
    <w:p>
      <w:pPr>
        <w:pStyle w:val="Heading2"/>
        <w:widowControl/>
      </w:pPr>
      <w:r>
        <w:t>5.1 Process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PROCESS</w:t>
              <w:br/>
              <w:br/>
              <w:t>LEFT (opcional)     CENTER (obligatorio)      RIGHT (opcional)</w:t>
              <w:br/>
              <w:t>+-----------+       +--------------------+    +-----------+</w:t>
              <w:br/>
              <w:t>| Component |       | Component CENTER   |    | Component |</w:t>
              <w:br/>
              <w:t>|   KPI     |       |  + Subcomponent A |    |   KPI     |</w:t>
              <w:br/>
              <w:t>+-----------+       |  + Subcomponent B |    +-----------+</w:t>
              <w:br/>
              <w:t xml:space="preserve">                    |  + ...            |</w:t>
              <w:br/>
              <w:t xml:space="preserve">                    +--------------------+</w:t>
              <w:br/>
              <w:br/>
              <w:t>BOTTOM (opcional)</w:t>
              <w:br/>
              <w:t>+-----------------------------+</w:t>
              <w:br/>
              <w:t>| Component / contenido KPI   |</w:t>
              <w:br/>
              <w:t>+-----------------------------+</w:t>
            </w:r>
          </w:p>
        </w:tc>
      </w:tr>
    </w:tbl>
    <w:p>
      <w:pPr>
        <w:spacing w:after="20"/>
        <w:widowControl/>
      </w:pP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Los roles de layout son LEFT, CENTER, RIGHT y BOTTOM.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CENTER es obligatorio; LEFT, RIGHT y BOTTOM son opcionales.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CENTER es expandible según la estructura real de la Tool y puede contener 1..N subcomponentes.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El Alarm Surface baseline de Process tiene un único ancla/punto: CENTER, independientemente del número de subcomponentes.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KPI Configuration puede usar component keys de Process como destinos válidos según la Tool proyectada.</w:t>
      </w:r>
    </w:p>
    <w:p>
      <w:pPr>
        <w:pStyle w:val="Heading3"/>
        <w:widowControl/>
      </w:pPr>
      <w:r>
        <w:t>Ejemplos Process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88"/>
        <w:gridCol w:w="4104"/>
      </w:tblGrid>
      <w:tr>
        <w:trPr>
          <w:cantSplit/>
        </w:trPr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CENTER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Consecuencia de Alarm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ADA Mina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CENTER dividido en varios subcomponentes (p. ej. tres).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Se pinta el/los subcomponentes afectados; baseline sigue siendo un único punto CENTER.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Flotación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CENTER con un único subcomponent que ocupa visualmente toda la caja.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Ese subcomponent puede pintarse completo; baseline sigue siendo un único punto CENTER.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5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21"/>
              </w:rPr>
              <w:t>No crear una excepción visual en el contrato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Cuando CENTER tiene un solo subcomponent, contractualmente sigue existiendo esa identidad fina. Que visualmente ocupe toda la caja es responsabilidad de la composición/presentación, no de una excepción en Tool Structure.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</w:pPr>
      <w:r>
        <w:t>5.2 Integrated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INTEGRATED_OPERATIONS</w:t>
              <w:br/>
              <w:br/>
              <w:t>Component 1          Component 2          ...          Component N</w:t>
              <w:br/>
              <w:t>+----------+         +----------+                     +----------+</w:t>
              <w:br/>
              <w:t>| Sub A    |         | Sub C    |                     | Sub ...  |</w:t>
              <w:br/>
              <w:t>| Sub B    |         | Shared X |------ relation ----&gt;|          |</w:t>
              <w:br/>
              <w:t>+----------+         +----------+                     +----------+</w:t>
              <w:br/>
              <w:t xml:space="preserve">     |                   |                                  |</w:t>
              <w:br/>
              <w:t xml:space="preserve">     v                   v                                  v</w:t>
              <w:br/>
              <w:t>Baseline point 1    Baseline point 2                  Baseline point N</w:t>
            </w:r>
          </w:p>
        </w:tc>
      </w:tr>
    </w:tbl>
    <w:p>
      <w:pPr>
        <w:spacing w:after="20"/>
        <w:widowControl/>
      </w:pP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Integrated Operations tiene N componentes principales configurados; N no es una constante del framework.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Cada componente puede tener N subcomponentes.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Cada componente principal proporciona un destino KPI y un punto de baseline para Alarm Surface.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Los subcomponentes son las identidades finas usadas por Alarm para marcar/pintar; no agregan baseline points.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El deployment actual puede tener nueve componentes, pero el contrato Atlanticus no debe hardcodear 9 ni nombres de procesos concretos.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Las relaciones compartidas deben expresarse con linked_component_keys.</w:t>
      </w:r>
    </w:p>
    <w:p>
      <w:pPr>
        <w:pStyle w:val="Heading1"/>
        <w:widowControl/>
      </w:pPr>
      <w:r>
        <w:t>6. Consumidores de la topología: KPI, Alarm, stores y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 xml:space="preserve">                          TOOL TOPOLOGY</w:t>
              <w:br/>
              <w:t xml:space="preserve">                               |</w:t>
              <w:br/>
              <w:t xml:space="preserve">       +-----------------------+------------------------+</w:t>
              <w:br/>
              <w:t xml:space="preserve">       |                       |                        |</w:t>
              <w:br/>
              <w:t xml:space="preserve">       v                       v                        v</w:t>
              <w:br/>
              <w:t>KPI Configuration       Alarm Configuration       UI Composition</w:t>
              <w:br/>
              <w:t xml:space="preserve">       |                       |                        |</w:t>
              <w:br/>
              <w:t xml:space="preserve">       v                       v                        |</w:t>
              <w:br/>
              <w:t>Demand / Projection      Runtime / Delivery             |</w:t>
              <w:br/>
              <w:t xml:space="preserve">       |                       |                        |</w:t>
              <w:br/>
              <w:t xml:space="preserve">       v                       v                        |</w:t>
              <w:br/>
              <w:t>Collector / Stores      canonical refs                  |</w:t>
              <w:br/>
              <w:t xml:space="preserve">       |                 component/subcomponent         |</w:t>
              <w:br/>
              <w:t xml:space="preserve">       +-----------------------+------------------------+</w:t>
              <w:br/>
              <w:t xml:space="preserve">                               |</w:t>
              <w:br/>
              <w:t xml:space="preserve">                               v</w:t>
              <w:br/>
              <w:t xml:space="preserve">                         Application runtime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</w:pPr>
      <w:r>
        <w:t>6.1 KPI Configuration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Descubre component keys válidas desde la Tool proyectada; no hardcodea Process, Integrated Operations, CENTER ni nombres de procesos.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Cada KPI configurado referencia un destino/componente válido.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Latest y Series pueden mantenerse como demandas independientes.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El contrato estructural no define cómo se dibuja el KPI; solo garantiza que el destino existe y es estable.</w:t>
      </w:r>
    </w:p>
    <w:p>
      <w:pPr>
        <w:pStyle w:val="Heading2"/>
        <w:widowControl/>
      </w:pPr>
      <w:r>
        <w:t>6.2 Projection, collector y stores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 demanda derivada de Tool Configuration + KPI Configuration puede agruparse por component/destination.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El collector debe poder distribuir automáticamente snapshots hacia stores/channels deterministas por destino.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Los nombres/IDs concretos de stores todavía deben congelarse en un contrato posterior; no inventarlos dentro de Tool Structure.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Latest y Series deben conservar canales/stores separados cuando corresponda.</w:t>
      </w:r>
    </w:p>
    <w:p>
      <w:pPr>
        <w:pStyle w:val="Heading2"/>
        <w:widowControl/>
      </w:pPr>
      <w:r>
        <w:t>6.3 Alarm Configuration / Runtime / Delivery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Reutiliza exactamente las mismas component/subcomponent keys para routing, escalamiento y affected targets.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Process se proyecta hacia CENTER como baseline; la presentación específica queda fuera de Alarm Runtime.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Integrated Operations conserva referencias de Component/Subcomponent; Delivery/renderer resuelven posiciones, colas, hilos y geometría.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Una relación shared no debe duplicarse en Alarm Configuration; debe consumir linked_component_keys de la topología.</w:t>
      </w:r>
    </w:p>
    <w:p>
      <w:pPr>
        <w:pStyle w:val="Heading2"/>
        <w:widowControl/>
      </w:pPr>
      <w:r>
        <w:t>6.4 UI composition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 UI consume IDs/keys/stores estables producidos o derivados de los contratos.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 composición concreta puede escribir callbacks por componente y conectarlos a los stores correspondientes.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Body y Alarm Surface pueden compartir la misma semántica de componentes sin que uno inspeccione el DOM del otro.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Una aplicación especial puede tener composición manual propia sin exigir nuevas abstracciones globales.</w:t>
      </w:r>
    </w:p>
    <w:p>
      <w:pPr>
        <w:pStyle w:val="Heading1"/>
        <w:widowControl/>
      </w:pPr>
      <w:r>
        <w:t>7. Qué será automático y qué seguirá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Automático / derivable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Manual / explícito</w:t>
            </w:r>
          </w:p>
        </w:tc>
      </w:tr>
      <w:tr>
        <w:trPr>
          <w:cantSplit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Descubrimiento de destinos KPI desde Tool Structure.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Diseño final de layout y geometría.</w:t>
            </w:r>
          </w:p>
        </w:tc>
      </w:tr>
      <w:tr>
        <w:trPr>
          <w:cantSplit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Validación de component/subcomponent keys.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Construcción de componentes Dash/HTML.</w:t>
            </w:r>
          </w:p>
        </w:tc>
      </w:tr>
      <w:tr>
        <w:trPr>
          <w:cantSplit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Proyección de demanda por destino.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Callbacks de presentación cuando la UI concreta lo requiera.</w:t>
            </w:r>
          </w:p>
        </w:tc>
      </w:tr>
      <w:tr>
        <w:trPr>
          <w:cantSplit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Distribución del collector hacia stores/channels.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Interpretación visual de latest/series.</w:t>
            </w:r>
          </w:p>
        </w:tc>
      </w:tr>
      <w:tr>
        <w:trPr>
          <w:cantSplit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Derivación de baseline anchors desde la topología.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Cómo se pinta, anima o distribuye Alarm Surface.</w:t>
            </w:r>
          </w:p>
        </w:tc>
      </w:tr>
      <w:tr>
        <w:trPr>
          <w:cantSplit/>
        </w:trP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Identidades/IDs contractuales estables.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Tratamientos especiales de componentes particulares.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7F6000"/>
                <w:sz w:val="21"/>
              </w:rPr>
              <w:t>Límite de complejidad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No construir un DSL visual con renderer_type, CSS, columnas, tamaños, excepciones o callbacks declarativos solo para automatizar la UI. La automatización debe concentrarse donde existe repetición mecánica demostrable: proyección, collector, stores, validación e identidades.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8. Roadmap de continuación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304"/>
        <w:gridCol w:w="4320"/>
        <w:gridCol w:w="2160"/>
      </w:tblGrid>
      <w:tr>
        <w:trPr>
          <w:cantSplit/>
        </w:trPr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Incremento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 incluir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TOOL-STRUCTURE-001 (rediseñado)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Contrato backend de topology/identity: Process + IO + shared links.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Body renderer, Alarm Surface UI, KPI callbacks.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2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Manager Tool Structure UI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Editar componentes/subcomponentes/layout roles/links desde /manager/tools.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Persistencia compleja si todavía no está acordada.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3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KPI Configuration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Descubrir component destinations, latest/series demand y bindings.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Hardcodes de Tool o layout visual.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4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Runtime demand + collector/stores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Derivar canales/stores y repartir snapshots automáticamente.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Presentación concreta de la Tool.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5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Alarm Baseline Projection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Process → CENTER; IO → 1 point por component.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Geometría/animaciones/hilos dentro del contrato base.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6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Body composition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Construcción manual guiada por IDs/stores contractuales.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DSL visual genérico innecesario.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7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End-to-end composition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Conectar config → projection → runtime → stores → callbacks → UI.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Duplicaciones de identidad entre capas.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</w:pPr>
      <w:r>
        <w:t>8.1 Secuencia objetivo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Sources (CERRADO)</w:t>
              <w:br/>
              <w:t xml:space="preserve">      |</w:t>
              <w:br/>
              <w:t>Manager Base + Branding + AUTHORING (CERRADO)</w:t>
              <w:br/>
              <w:t xml:space="preserve">      |</w:t>
              <w:br/>
              <w:t>Tool Structure contract</w:t>
              <w:br/>
              <w:t xml:space="preserve">      |</w:t>
              <w:br/>
              <w:t xml:space="preserve">      +--&gt; Manager Structure editor</w:t>
              <w:br/>
              <w:t xml:space="preserve">      |</w:t>
              <w:br/>
              <w:t xml:space="preserve">      +--&gt; KPI Configuration --&gt; demand --&gt; collector --&gt; stores</w:t>
              <w:br/>
              <w:t xml:space="preserve">      |</w:t>
              <w:br/>
              <w:t xml:space="preserve">      +--&gt; Alarm topology --&gt; baseline/delivery</w:t>
              <w:br/>
              <w:t xml:space="preserve">      |</w:t>
              <w:br/>
              <w:t xml:space="preserve">      +--&gt; UI IDs / manual Body composition</w:t>
              <w:br/>
              <w:t xml:space="preserve">      |</w:t>
              <w:br/>
              <w:t xml:space="preserve">      v</w:t>
              <w:br/>
              <w:t>End-to-end Tool application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9. Criterios de aceptación de TOOL-STRUCTURE-001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introduce UI renderer, CSS, callbacks, store IDs concretos ni persistencia de infraestructura.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No hardcodea nueve componentes ni nombres del deployment actual de Integrated Operations.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Integrated Operations admite N components y N subcomponents por component.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Process admite LEFT/CENTER/RIGHT/BOTTOM; CENTER obligatorio y los demás opcionales.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CENTER admite 1..N subcomponents y el baseline de Process sigue derivando un único punto CENTER.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Los Component keys son identidades principales utilizables por KPI Configuration.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Los Subcomponent keys son identidades finas utilizables por Alarm.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linked_component_keys conserva relaciones compartidas sin duplicar identidades.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La topología puede proyectarse sin conocer la composición visual concreta.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Sources Editor y Manager preservan Structure al editar Sources; ninguna edición parcial borra la topología.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Código productivo limpio + espejo comentado equivalente + tests unitarios/integración correspondientes.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El gate autoritativo se ejecuta con Python 3.14.2 + UV y no usa PIP.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9C0006"/>
                <w:sz w:val="21"/>
              </w:rPr>
              <w:t>Criterio de rechazo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Si para soportar una Tool concreta el contrato necesita almacenar renderer, CSS, coordenadas, número fijo de alarm points o callbacks, detener el incremento y revisar la frontera. Esos datos probablemente pertenecen a Presentation/Composition, no a Tool Structure.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10. Riesgos, decisiones pendientes y reglas para el siguiente chat</w:t>
      </w:r>
    </w:p>
    <w:p>
      <w:pPr>
        <w:pStyle w:val="Heading2"/>
        <w:widowControl/>
      </w:pPr>
      <w:r>
        <w:t>10.1 Decisiones todavía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264"/>
      </w:tblGrid>
      <w:tr>
        <w:trPr>
          <w:cantSplit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Estado / próximo criterio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API exacta de Tool Structure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Pendiente. Congelar después de validar Process + IO + shared relation con ejemplos reales.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Store ID convention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Pendiente. Debe derivarse de identities estables, pero el nombre exacto todavía no se fija.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Component-level alarm paint policy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Pendiente de Presentation/Alarm Surface: component puede ser referencia gruesa; subcomponents son zonas finas.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Manager persistence/publication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Fuera de este checkpoint; no bloquear el contrato estructural por persistencia final.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Assets festivos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Selector manual existe; assets aprobados aún deben conectarse al package Branding.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Componente especial de IO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color w:val="1F1F1F"/>
                <w:sz w:val="17"/>
              </w:rPr>
              <w:t>Modelar con topología/shared links o composición concreta; no convertir el caso especial en una regla global prematura.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</w:pPr>
      <w:r>
        <w:t>10.2 Reglas de continuidad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No aplicar el ZIP TOOL-STRUCTURE-001 anterior; rehacerlo desde este checkpoint.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No reabrir DATA-003/DATA-004 salvo contradicción comprobada: Sources ya están cerrados y consolidados.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No convertir Tool Configuration en motor declarativo completo de UI.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No crear una segunda jerarquía de componentes para Alarm o KPI; todos consumen la misma topología.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No duplicar subcomponentes compartidos; usar linked_component_keys.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No hardcodear el deployment actual dentro de Atlanticus genérico.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Backend/contratos primero; UI consumidora después.</w:t>
      </w:r>
    </w:p>
    <w:p>
      <w:pPr>
        <w:pStyle w:val="ListNumber"/>
        <w:spacing w:after="40"/>
        <w:widowControl/>
      </w:pPr>
      <w:r>
        <w:rPr>
          <w:rFonts w:ascii="Liberation Sans" w:hAnsi="Liberation Sans"/>
          <w:sz w:val="21"/>
        </w:rPr>
        <w:t>Mantener los cambios incrementales, con rollback y gate Python 3.14.2 + UV.</w:t>
      </w:r>
    </w:p>
    <w:p>
      <w:pPr>
        <w:pStyle w:val="Heading2"/>
        <w:widowControl/>
      </w:pPr>
      <w:r>
        <w:t>10.3 Estado esperado al retomar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Diagram"/>
            </w:pPr>
            <w:r>
              <w:rPr>
                <w:rFonts w:ascii="Liberation Mono" w:hAnsi="Liberation Mono"/>
                <w:color w:val="1F1F1F"/>
                <w:sz w:val="16"/>
              </w:rPr>
              <w:t>AL RETOMAR</w:t>
              <w:br/>
              <w:br/>
              <w:t>1. Baseline actual = CONFIG-CLEANUP-001 verde + Manager/Authoring verdes.</w:t>
              <w:br/>
              <w:t>2. Tool Structure todavía NO aplicado.</w:t>
              <w:br/>
              <w:t>3. Abrir este documento.</w:t>
              <w:br/>
              <w:t>4. Implementar TOOL-STRUCTURE-001 rediseñado como topology/identity contract.</w:t>
              <w:br/>
              <w:t>5. Validar con Process + Integrated Operations + shared subcomponent.</w:t>
              <w:br/>
              <w:t>6. Recién después avanzar a Manager Structure / KPI / Alarm baseline / Body.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Referencias internas de continuidad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ATLANTICUS_APENDICE_WEB_TOOL_KPI_RUNTIME_PRESENTACION_2026-08-24 — Tool única, KPI Configuration, runtime de presentación, construcción manual de Body y linked_component_keys.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ADA_Alarm_Engine_Checkpoint_Arquitectonico_2026-08-21 — Delivery/Presentation, Process CENTER, IO Component/Subcomponent y frontera Frontend vs Runtime.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DATA-003 — Tool Source Consumption Contract — pertenencia de sources por Tool.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DATA-004 — Source Operational Participation — CONTROL / Observation y thresholds.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CONFIG-CLEANUP-001 — consolidación de Tool Sources en un único wheel.</w:t>
      </w:r>
    </w:p>
    <w:p>
      <w:pPr>
        <w:pStyle w:val="ListBullet"/>
        <w:spacing w:after="40"/>
        <w:widowControl/>
      </w:pPr>
      <w:r>
        <w:rPr>
          <w:rFonts w:ascii="Liberation Sans" w:hAnsi="Liberation Sans"/>
          <w:sz w:val="21"/>
        </w:rPr>
        <w:t>Manager Tools Base + Application AUTHORING Mode — administración manual y desarrollo sin overlays de Content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548235"/>
                <w:sz w:val="21"/>
              </w:rPr>
              <w:t>Conclusión</w:t>
              <w:br/>
            </w:r>
            <w:r>
              <w:rPr>
                <w:rFonts w:ascii="Liberation Sans" w:hAnsi="Liberation Sans"/>
                <w:color w:val="1F1F1F"/>
                <w:sz w:val="19"/>
              </w:rPr>
              <w:t>El próximo objetivo no es renderizar la aplicación desde Tool Configuration, sino construir una topología mínima, estable y reutilizable compartida por KPI, Alarm, collector/stores y UI composition. Automatizar lo repetitivo; mantener explícita la presentación especial.</w:t>
            </w:r>
          </w:p>
        </w:tc>
      </w:tr>
    </w:tbl>
    <w:p>
      <w:pPr>
        <w:spacing w:after="2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  <w:tcMar>
            <w:top w:w="20" w:type="dxa"/>
            <w:start w:w="100" w:type="dxa"/>
            <w:bottom w:w="20" w:type="dxa"/>
            <w:end w:w="100" w:type="dxa"/>
          </w:tcMar>
        </w:tcPr>
        <w:p>
          <w:r>
            <w:rPr>
              <w:rFonts w:ascii="Liberation Sans" w:hAnsi="Liberation Sans"/>
              <w:color w:val="595959"/>
              <w:sz w:val="16"/>
            </w:rPr>
            <w:t>Tool Configuration → Tool Structure</w:t>
          </w:r>
        </w:p>
      </w:tc>
      <w:tc>
        <w:tcPr>
          <w:tcW w:type="dxa" w:w="3312"/>
          <w:tcMar>
            <w:top w:w="20" w:type="dxa"/>
            <w:start w:w="100" w:type="dxa"/>
            <w:bottom w:w="20" w:type="dxa"/>
            <w:end w:w="100" w:type="dxa"/>
          </w:tcMar>
        </w:tcPr>
        <w:p>
          <w:pPr>
            <w:jc w:val="center"/>
          </w:pPr>
          <w:r>
            <w:rPr>
              <w:rFonts w:ascii="Liberation Sans" w:hAnsi="Liberation Sans"/>
              <w:color w:val="595959"/>
              <w:sz w:val="16"/>
            </w:rPr>
            <w:t>v1.0.0</w:t>
          </w:r>
        </w:p>
      </w:tc>
      <w:tc>
        <w:tcPr>
          <w:tcW w:type="dxa" w:w="3312"/>
          <w:tcMar>
            <w:top w:w="20" w:type="dxa"/>
            <w:start w:w="100" w:type="dxa"/>
            <w:bottom w:w="20" w:type="dxa"/>
            <w:end w:w="100" w:type="dxa"/>
          </w:tcMar>
        </w:tcPr>
        <w:p>
          <w:pPr>
            <w:jc w:val="right"/>
          </w:pPr>
          <w:r>
            <w:rPr>
              <w:rFonts w:ascii="Liberation Sans" w:hAnsi="Liberation Sans"/>
              <w:color w:val="595959"/>
              <w:sz w:val="16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F5597"/>
        <w:sz w:val="17"/>
      </w:rPr>
      <w:t>ATLANTICUS / ADA · DOCUMENTO DE TRANSICIÓN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spacing w:after="0" w:line="240" w:lineRule="auto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/ ADA — Documento de transición Tool Configuration → Tool Structure</dc:title>
  <dc:subject>Checkpoint de continuidad técnica antes de TOOL-STRUCTURE-001</dc:subject>
  <dc:creator>Atlanticus / ADA</dc:creator>
  <cp:keywords>Atlanticus, ADA, Tool Configuration, Tool Structure, KPI, Alarm, Manager, Transition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