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60"/>
        <w:jc w:val="left"/>
      </w:pPr>
      <w:r>
        <w:rPr>
          <w:rFonts w:ascii="Aptos" w:hAnsi="Aptos"/>
          <w:b/>
          <w:color w:val="5C707C"/>
          <w:sz w:val="20"/>
        </w:rPr>
        <w:t>ATLANTICUS / ADA</w:t>
      </w:r>
    </w:p>
    <w:p>
      <w:pPr>
        <w:pStyle w:val="Title"/>
        <w:spacing w:after="80"/>
      </w:pPr>
      <w:r>
        <w:rPr>
          <w:rFonts w:ascii="Aptos Display" w:hAnsi="Aptos Display"/>
          <w:b/>
          <w:color w:val="202C34"/>
          <w:sz w:val="48"/>
        </w:rPr>
        <w:t>PAGE-READINESS-001</w:t>
      </w:r>
    </w:p>
    <w:p>
      <w:pPr>
        <w:spacing w:after="280"/>
      </w:pPr>
      <w:r>
        <w:rPr>
          <w:rFonts w:ascii="Aptos" w:hAnsi="Aptos"/>
          <w:b w:val="0"/>
          <w:color w:val="485862"/>
          <w:sz w:val="26"/>
        </w:rPr>
        <w:t>ADA Operational Initial Composition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AF5ED"/>
            <w:tcBorders>
              <w:top w:val="single" w:sz="6" w:color="B7C9D6"/>
              <w:left w:val="single" w:sz="10" w:color="6E8FA5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C404C"/>
                <w:sz w:val="20"/>
              </w:rPr>
              <w:t>Estado</w:t>
            </w:r>
          </w:p>
          <w:p>
            <w:pPr>
              <w:spacing w:before="0" w:after="0"/>
            </w:pPr>
            <w:r>
              <w:rPr>
                <w:rFonts w:ascii="Aptos" w:hAnsi="Aptos"/>
                <w:color w:val="2C2C2C"/>
                <w:sz w:val="19"/>
              </w:rPr>
              <w:t>CERRADO / GREEN · Gate autoritativo validado con Python 3.14.2 + UV.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Campo</w:t>
            </w:r>
          </w:p>
        </w:tc>
        <w:tc>
          <w:tcPr>
            <w:tcW w:type="dxa" w:w="6552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Valor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Documento</w:t>
            </w:r>
          </w:p>
        </w:tc>
        <w:tc>
          <w:tcPr>
            <w:tcW w:type="dxa" w:w="655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Contrato de arquitectura y mantenimiento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Versión</w:t>
            </w:r>
          </w:p>
        </w:tc>
        <w:tc>
          <w:tcPr>
            <w:tcW w:type="dxa" w:w="655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1.0.0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Fecha</w:t>
            </w:r>
          </w:p>
        </w:tc>
        <w:tc>
          <w:tcPr>
            <w:tcW w:type="dxa" w:w="655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31 de agosto de 2026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Capability</w:t>
            </w:r>
          </w:p>
        </w:tc>
        <w:tc>
          <w:tcPr>
            <w:tcW w:type="dxa" w:w="655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ada-web-ui-page-readiness==0.1.0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Aplicación</w:t>
            </w:r>
          </w:p>
        </w:tc>
        <w:tc>
          <w:tcPr>
            <w:tcW w:type="dxa" w:w="655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ada-generic-application==0.2.5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Ámbito</w:t>
            </w:r>
          </w:p>
        </w:tc>
        <w:tc>
          <w:tcPr>
            <w:tcW w:type="dxa" w:w="655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Superficie operacional ADA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Fuera de alcance</w:t>
            </w:r>
          </w:p>
        </w:tc>
        <w:tc>
          <w:tcPr>
            <w:tcW w:type="dxa" w:w="655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Manager y navegación interna de Manager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rFonts w:ascii="Aptos" w:hAnsi="Aptos"/>
          <w:b/>
          <w:color w:val="294252"/>
          <w:sz w:val="22"/>
        </w:rPr>
        <w:t>Resumen ejecutivo</w:t>
      </w:r>
    </w:p>
    <w:p>
      <w:r>
        <w:rPr>
          <w:rFonts w:ascii="Aptos" w:hAnsi="Aptos"/>
          <w:sz w:val="20"/>
        </w:rPr>
        <w:t>PAGE-READINESS-001 define cuándo una composición operacional ADA puede abandonar su loader inicial. La fuente de verdad no es un temporizador ni una configuración por Tool: son señales explícitas publicadas por los callbacks que materializan la UI inicial. El capability descubre esas señales automáticamente, espera a que todas estén listas, aplica una ventana breve de asentamiento visual y ejecuta el fade del loader. Una vez alcanzado READY, el estado queda latched durante esa composición.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rPr>
          <w:rFonts w:ascii="Aptos" w:hAnsi="Aptos"/>
          <w:sz w:val="20"/>
        </w:rPr>
        <w:t>El objetivo es separar la sincronización de la carga inicial de su presentación visual. ADA necesita saber cuándo la UI operacional quedó materializada, pero no debe conocer qué imagen, SVG, branding o composición usa cada Tool como loader.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ADA posee el protocolo de Page Readiness y su lifecycle.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Cada callback de render inicial declara que su propia UI quedó materializada.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La Tool inyecta el contenido visual del loader.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Manager conserva un lifecycle de carga independiente.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Actualizaciones periódicas posteriores no vuelven a activar el loader de página.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DF4F8"/>
            <w:tcBorders>
              <w:top w:val="single" w:sz="6" w:color="B7C9D6"/>
              <w:left w:val="single" w:sz="10" w:color="6E8FA5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C404C"/>
                <w:sz w:val="20"/>
              </w:rPr>
              <w:t>Principio rector</w:t>
            </w:r>
          </w:p>
          <w:p>
            <w:pPr>
              <w:spacing w:before="0" w:after="0"/>
            </w:pPr>
            <w:r>
              <w:rPr>
                <w:rFonts w:ascii="Aptos" w:hAnsi="Aptos"/>
                <w:color w:val="2C2C2C"/>
                <w:sz w:val="19"/>
              </w:rPr>
              <w:t>Readiness indica finalización del render inicial, no calidad o disponibilidad del dato. Una UI EMPTY, ERROR, NOT_MAPPED o equivalente puede estar correctamente renderizada y, por tanto, lista.</w:t>
            </w:r>
          </w:p>
        </w:tc>
      </w:tr>
    </w:tbl>
    <w:p>
      <w:pPr>
        <w:spacing w:after="0"/>
      </w:pPr>
    </w:p>
    <w:p>
      <w:pPr>
        <w:pStyle w:val="Heading1"/>
      </w:pPr>
      <w:r>
        <w:t>2. Decisión arquitectónica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</w:pPr>
            <w:r>
              <w:rPr>
                <w:rFonts w:ascii="Menlo" w:hAnsi="Menlo"/>
                <w:color w:val="2D2D2D"/>
                <w:sz w:val="17"/>
              </w:rPr>
              <w:t>Tool / callbacks UI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│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├── render visual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└── data-ada-render-ready=true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          │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          ▼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ADA Page Readiness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          │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descubre señales reales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          │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          ▼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LOADING → SETTLING → FADING → READY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          │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          ▼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      loader inyectado por Tool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20"/>
        </w:rPr>
        <w:t>No existe una lista central de callbacks obligatorios, un número esperado de componentes ni una sección de Tool Configuration dedicada a readiness. La composición se vuelve extensible por contrato: cualquier nueva pieza de UI que implemente la señal estándar participa automáticamente.</w:t>
      </w:r>
    </w:p>
    <w:p>
      <w:pPr>
        <w:pStyle w:val="Heading1"/>
      </w:pPr>
      <w:r>
        <w:t>3. Contrato DOM de readiness</w:t>
      </w:r>
    </w:p>
    <w:p>
      <w:r>
        <w:rPr>
          <w:rFonts w:ascii="Aptos" w:hAnsi="Aptos"/>
          <w:sz w:val="20"/>
        </w:rPr>
        <w:t>La señal vive en el wrapper estable del componente. La identidad canónica existente se reutiliza; no se introduce una segunda key paralela.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</w:pPr>
            <w:r>
              <w:rPr>
                <w:rFonts w:ascii="Menlo" w:hAnsi="Menlo"/>
                <w:color w:val="2D2D2D"/>
                <w:sz w:val="17"/>
              </w:rPr>
              <w:t>data-ada-component-key="&lt;component_key&gt;"</w:t>
              <w:br/>
            </w:r>
            <w:r>
              <w:rPr>
                <w:rFonts w:ascii="Menlo" w:hAnsi="Menlo"/>
                <w:color w:val="2D2D2D"/>
                <w:sz w:val="17"/>
              </w:rPr>
              <w:t>data-ada-render-ready="false|true"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Atributo</w:t>
            </w:r>
          </w:p>
        </w:tc>
        <w:tc>
          <w:tcPr>
            <w:tcW w:type="dxa" w:w="2880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Responsabilidad</w:t>
            </w:r>
          </w:p>
        </w:tc>
        <w:tc>
          <w:tcPr>
            <w:tcW w:type="dxa" w:w="3168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Regla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data-ada-component-key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Identidad estable del componente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Debe corresponder a la identidad canónica ya usada por la composición.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data-ada-render-ready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Señal de lifecycle de presentación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Comienza false y pasa a true cuando el callback termina su render inicial.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DF4F8"/>
            <w:tcBorders>
              <w:top w:val="single" w:sz="6" w:color="B7C9D6"/>
              <w:left w:val="single" w:sz="10" w:color="6E8FA5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C404C"/>
                <w:sz w:val="20"/>
              </w:rPr>
              <w:t>No crear Stores extra por defecto</w:t>
            </w:r>
          </w:p>
          <w:p>
            <w:pPr>
              <w:spacing w:before="0" w:after="0"/>
            </w:pPr>
            <w:r>
              <w:rPr>
                <w:rFonts w:ascii="Aptos" w:hAnsi="Aptos"/>
                <w:color w:val="2C2C2C"/>
                <w:sz w:val="19"/>
              </w:rPr>
              <w:t>La señal se publica en el wrapper estable que ya participa de la composición. No se crea un dcc.Store adicional por componente sólo para readiness.</w:t>
            </w:r>
          </w:p>
        </w:tc>
      </w:tr>
    </w:tbl>
    <w:p>
      <w:pPr>
        <w:spacing w:after="0"/>
      </w:pPr>
    </w:p>
    <w:p>
      <w:pPr>
        <w:pStyle w:val="Heading1"/>
      </w:pPr>
      <w:r>
        <w:t>4. Contrato para callbacks de UI</w:t>
      </w:r>
    </w:p>
    <w:p>
      <w:r>
        <w:rPr>
          <w:rFonts w:ascii="Aptos" w:hAnsi="Aptos"/>
          <w:sz w:val="20"/>
        </w:rPr>
        <w:t>Todo callback que materialice una pieza necesaria de la UI inicial debe cumplir estas reglas: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Renderizar su resultado visual y publicar readiness como parte de la misma responsabilidad funcional.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Mantener data-ada-render-ready=false mientras la primera materialización no haya concluido.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Publicar true aunque el estado visual resultante sea vacío, inválido, no mapeado o de error controlado.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No volver a false por actualizaciones periódicas ordinarias una vez completado el render inicial de esa composición.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No depender de una lista central para ser descubierto por Page Readiness.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</w:pPr>
            <w:r>
              <w:rPr>
                <w:rFonts w:ascii="Menlo" w:hAnsi="Menlo"/>
                <w:color w:val="2D2D2D"/>
                <w:sz w:val="17"/>
              </w:rPr>
              <w:t>callback inicial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├── children / figure / card / status = resultado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 └── data-ada-render-ready = true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20"/>
        </w:rPr>
        <w:t>La regla también aplica a futuras superficies operacionales, incluidas alarmas, siempre que formen parte de la composición inicial. Adoptar el atributo estándar debe ser suficiente para integrarlas al protocolo.</w:t>
      </w:r>
    </w:p>
    <w:p>
      <w:pPr>
        <w:pStyle w:val="Heading1"/>
      </w:pPr>
      <w:r>
        <w:t>5. Lifecycle de Page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Estado</w:t>
            </w:r>
          </w:p>
        </w:tc>
        <w:tc>
          <w:tcPr>
            <w:tcW w:type="dxa" w:w="3528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Condición</w:t>
            </w:r>
          </w:p>
        </w:tc>
        <w:tc>
          <w:tcPr>
            <w:tcW w:type="dxa" w:w="3888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Comportamiento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LOADING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Existe al menos una señal false o todavía se materializa la composición.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Loader visible; contenido operacional protegido.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SETTLING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Todas las señales descubiertas están true.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Se mantiene el loader durante una ventana breve de estabilización visual.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FADING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El conjunto permaneció estable durante settling.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Se inicia la transición visual de salida del loader.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READY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Finalizó el fade.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El loader deja de interferir y el estado queda latched para esa composición.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</w:pPr>
            <w:r>
              <w:rPr>
                <w:rFonts w:ascii="Menlo" w:hAnsi="Menlo"/>
                <w:color w:val="2D2D2D"/>
                <w:sz w:val="17"/>
              </w:rPr>
              <w:t>LOADING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│  all=true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▼</w:t>
              <w:br/>
            </w:r>
            <w:r>
              <w:rPr>
                <w:rFonts w:ascii="Menlo" w:hAnsi="Menlo"/>
                <w:color w:val="2D2D2D"/>
                <w:sz w:val="17"/>
              </w:rPr>
              <w:t>SETTLING  (default actual: 160 ms)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│  conjunto estable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▼</w:t>
              <w:br/>
            </w:r>
            <w:r>
              <w:rPr>
                <w:rFonts w:ascii="Menlo" w:hAnsi="Menlo"/>
                <w:color w:val="2D2D2D"/>
                <w:sz w:val="17"/>
              </w:rPr>
              <w:t>FADING    (default actual: 240 ms)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│  transitionend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▼</w:t>
              <w:br/>
            </w:r>
            <w:r>
              <w:rPr>
                <w:rFonts w:ascii="Menlo" w:hAnsi="Menlo"/>
                <w:color w:val="2D2D2D"/>
                <w:sz w:val="17"/>
              </w:rPr>
              <w:t>READY     (latched)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DF4F8"/>
            <w:tcBorders>
              <w:top w:val="single" w:sz="6" w:color="B7C9D6"/>
              <w:left w:val="single" w:sz="10" w:color="6E8FA5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C404C"/>
                <w:sz w:val="20"/>
              </w:rPr>
              <w:t>El timeout no define readiness</w:t>
            </w:r>
          </w:p>
          <w:p>
            <w:pPr>
              <w:spacing w:before="0" w:after="0"/>
            </w:pPr>
            <w:r>
              <w:rPr>
                <w:rFonts w:ascii="Aptos" w:hAnsi="Aptos"/>
                <w:color w:val="2C2C2C"/>
                <w:sz w:val="19"/>
              </w:rPr>
              <w:t>La ventana de settling sólo da tiempo al navegador para materializar DOM, layout y pintura antes del fade. La fuente de verdad sigue siendo ALL=true sobre las señales contractuales.</w:t>
            </w:r>
          </w:p>
        </w:tc>
      </w:tr>
    </w:tbl>
    <w:p>
      <w:pPr>
        <w:spacing w:after="0"/>
      </w:pPr>
    </w:p>
    <w:p>
      <w:pPr>
        <w:pStyle w:val="Heading2"/>
      </w:pPr>
      <w:r>
        <w:t>5.1 Señales que aparecen durante settling</w:t>
      </w:r>
    </w:p>
    <w:p>
      <w:r>
        <w:rPr>
          <w:rFonts w:ascii="Aptos" w:hAnsi="Aptos"/>
          <w:sz w:val="20"/>
        </w:rPr>
        <w:t>Si durante SETTLING aparece una nueva señal con valor false, el cierre se cancela y el scope vuelve a LOADING. Esto permite integrar composición progresiva sin depender de conteos o listas previas.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</w:pPr>
            <w:r>
              <w:rPr>
                <w:rFonts w:ascii="Menlo" w:hAnsi="Menlo"/>
                <w:color w:val="2D2D2D"/>
                <w:sz w:val="17"/>
              </w:rPr>
              <w:t>ALL=true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↓</w:t>
              <w:br/>
            </w:r>
            <w:r>
              <w:rPr>
                <w:rFonts w:ascii="Menlo" w:hAnsi="Menlo"/>
                <w:color w:val="2D2D2D"/>
                <w:sz w:val="17"/>
              </w:rPr>
              <w:t>SETTLING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↓ aparece nuevo component=false</w:t>
              <w:br/>
            </w:r>
            <w:r>
              <w:rPr>
                <w:rFonts w:ascii="Menlo" w:hAnsi="Menlo"/>
                <w:color w:val="2D2D2D"/>
                <w:sz w:val="17"/>
              </w:rPr>
              <w:t>LOADING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↓ nuevo componente termina</w:t>
              <w:br/>
            </w:r>
            <w:r>
              <w:rPr>
                <w:rFonts w:ascii="Menlo" w:hAnsi="Menlo"/>
                <w:color w:val="2D2D2D"/>
                <w:sz w:val="17"/>
              </w:rPr>
              <w:t>ALL=true</w:t>
              <w:br/>
            </w:r>
            <w:r>
              <w:rPr>
                <w:rFonts w:ascii="Menlo" w:hAnsi="Menlo"/>
                <w:color w:val="2D2D2D"/>
                <w:sz w:val="17"/>
              </w:rPr>
              <w:t xml:space="preserve">   ↓</w:t>
              <w:br/>
            </w:r>
            <w:r>
              <w:rPr>
                <w:rFonts w:ascii="Menlo" w:hAnsi="Menlo"/>
                <w:color w:val="2D2D2D"/>
                <w:sz w:val="17"/>
              </w:rPr>
              <w:t>SETTLING → FADING → READY</w:t>
            </w:r>
          </w:p>
        </w:tc>
      </w:tr>
    </w:tbl>
    <w:p>
      <w:pPr>
        <w:spacing w:after="0"/>
      </w:pPr>
    </w:p>
    <w:p>
      <w:pPr>
        <w:pStyle w:val="Heading2"/>
      </w:pPr>
      <w:r>
        <w:t>5.2 Latch de READY</w:t>
      </w:r>
    </w:p>
    <w:p>
      <w:r>
        <w:rPr>
          <w:rFonts w:ascii="Aptos" w:hAnsi="Aptos"/>
          <w:sz w:val="20"/>
        </w:rPr>
        <w:t>READY es un latch de la composición inicial. Después de alcanzarlo, callbacks periódicos, polling de datos o refrescos de componentes no vuelven a mostrar el loader de página. Esos ciclos usan sus propios estados de componente, spinners o mecanismos de Content State.</w:t>
      </w:r>
    </w:p>
    <w:p>
      <w:pPr>
        <w:pStyle w:val="Heading1"/>
      </w:pPr>
      <w:r>
        <w:t>6. Contrato de presentación del loader</w:t>
      </w:r>
    </w:p>
    <w:p>
      <w:r>
        <w:rPr>
          <w:rFonts w:ascii="Aptos" w:hAnsi="Aptos"/>
          <w:sz w:val="20"/>
        </w:rPr>
        <w:t>Page Readiness controla el lifecycle, pero no el diseño. La composición de cada Tool entrega el loader que corresponda a su identidad visual.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68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Responsabilidad</w:t>
            </w:r>
          </w:p>
        </w:tc>
        <w:tc>
          <w:tcPr>
            <w:tcW w:type="dxa" w:w="3960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Propietario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LOADING / SETTLING / FADING / READY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ada-web-ui-page-readiness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Contenido visual del loader operacional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Tool / composición ADA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Imagen, SVG, branding y nombre de herramienta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Tool / branding correspondiente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Spinners de operaciones posteriores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Componente o superficie que ejecuta la operación</w:t>
            </w:r>
          </w:p>
        </w:tc>
      </w:tr>
    </w:tbl>
    <w:p>
      <w:pPr>
        <w:spacing w:after="0"/>
      </w:pPr>
    </w:p>
    <w:p>
      <w:pPr>
        <w:pStyle w:val="Heading1"/>
      </w:pPr>
      <w:r>
        <w:t>7. Separación explícita de Manager</w:t>
      </w:r>
    </w:p>
    <w:p>
      <w:r>
        <w:rPr>
          <w:rFonts w:ascii="Aptos" w:hAnsi="Aptos"/>
          <w:sz w:val="20"/>
        </w:rPr>
        <w:t>Manager no consume PAGE-READINESS-001. Su carga inicial usa un loader Atlanticus propio, coherente con su composición administrativa. Una vez dentro de Manager, la navegación entre rutas no vuelve a mostrar esa imagen de carga: cada operación usa spinners locales.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shd w:fill="F5F5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before="0"/>
            </w:pPr>
            <w:r>
              <w:rPr>
                <w:rFonts w:ascii="Menlo" w:hAnsi="Menlo"/>
                <w:color w:val="2D2D2D"/>
                <w:sz w:val="17"/>
              </w:rPr>
              <w:t>Entrada inicial /manager</w:t>
              <w:br/>
            </w:r>
            <w:r>
              <w:rPr>
                <w:rFonts w:ascii="Menlo" w:hAnsi="Menlo"/>
                <w:color w:val="2D2D2D"/>
                <w:sz w:val="17"/>
              </w:rPr>
              <w:t>→ loader Atlanticus</w:t>
              <w:br/>
            </w:r>
            <w:r>
              <w:rPr>
                <w:rFonts w:ascii="Menlo" w:hAnsi="Menlo"/>
                <w:color w:val="2D2D2D"/>
                <w:sz w:val="17"/>
              </w:rPr>
              <w:t>→ Manager listo</w:t>
              <w:br/>
            </w:r>
            <w:r>
              <w:rPr>
                <w:rFonts w:ascii="Menlo" w:hAnsi="Menlo"/>
                <w:color w:val="2D2D2D"/>
                <w:sz w:val="17"/>
              </w:rPr>
              <w:br/>
            </w:r>
            <w:r>
              <w:rPr>
                <w:rFonts w:ascii="Menlo" w:hAnsi="Menlo"/>
                <w:color w:val="2D2D2D"/>
                <w:sz w:val="17"/>
              </w:rPr>
              <w:t>Navegación interna Manager</w:t>
              <w:br/>
            </w:r>
            <w:r>
              <w:rPr>
                <w:rFonts w:ascii="Menlo" w:hAnsi="Menlo"/>
                <w:color w:val="2D2D2D"/>
                <w:sz w:val="17"/>
              </w:rPr>
              <w:t>→ NO loader de página</w:t>
              <w:br/>
            </w:r>
            <w:r>
              <w:rPr>
                <w:rFonts w:ascii="Menlo" w:hAnsi="Menlo"/>
                <w:color w:val="2D2D2D"/>
                <w:sz w:val="17"/>
              </w:rPr>
              <w:t>→ spinner local cuando corresponda</w:t>
            </w:r>
          </w:p>
        </w:tc>
      </w:tr>
    </w:tbl>
    <w:p>
      <w:pPr>
        <w:spacing w:after="0"/>
      </w:pPr>
    </w:p>
    <w:p>
      <w:pPr>
        <w:pStyle w:val="Heading1"/>
      </w:pPr>
      <w:r>
        <w:t>8. Extensibilidad y adopción futura</w:t>
      </w:r>
    </w:p>
    <w:p>
      <w:r>
        <w:rPr>
          <w:rFonts w:ascii="Aptos" w:hAnsi="Aptos"/>
          <w:sz w:val="20"/>
        </w:rPr>
        <w:t>La extensión del protocolo debe ocurrir por adopción del contrato, no por edición del agregador central. Un nuevo componente operacional participa cuando su wrapper estable publica la identidad y la señal de readiness.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736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Caso</w:t>
            </w:r>
          </w:p>
        </w:tc>
        <w:tc>
          <w:tcPr>
            <w:tcW w:type="dxa" w:w="4320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Acción requerida</w:t>
            </w:r>
          </w:p>
        </w:tc>
        <w:tc>
          <w:tcPr>
            <w:tcW w:type="dxa" w:w="1872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Cambio en Page Readiness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Nuevo KPI o componente visual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Implementar data-ada-render-ready en su callback inicial.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Alarm Management / Alarm Status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Adoptar el mismo contrato si deben bloquear la composición inicial.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Nueva Tool ADA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Inyectar su loader visual y usar wrappers contractuales.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Nueva ruta de Manager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Usar lifecycle propio de Manager.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Ninguno</w:t>
            </w:r>
          </w:p>
        </w:tc>
      </w:tr>
    </w:tbl>
    <w:p>
      <w:pPr>
        <w:spacing w:after="0"/>
      </w:pPr>
    </w:p>
    <w:p>
      <w:pPr>
        <w:pStyle w:val="Heading1"/>
      </w:pPr>
      <w:r>
        <w:t>9. Guardrails y decisiones prohibidas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 introducir listas required_components, required_callbacks o conteos esperados por Tool.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 usar Tool Configuration como fuente de verdad del readiness visual.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 usar timers como criterio para declarar la página lista.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 mezclar readiness con payloads Latest, Timeseries u otros datos de negocio.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 hacer que estados de calidad del dato (EMPTY, ERROR, NOT_MAPPED, etc.) bloqueen indefinidamente la salida del loader cuando la UI correspondiente ya fue renderizada.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 reactivar el loader global por callbacks periódicos después de READY.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 reutilizar PAGE-READINESS-001 para Manager.</w:t>
      </w:r>
    </w:p>
    <w:p>
      <w:pPr>
        <w:pStyle w:val="Heading1"/>
      </w:pPr>
      <w:r>
        <w:t>10. Notas de implementación vigentes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Elemento</w:t>
            </w:r>
          </w:p>
        </w:tc>
        <w:tc>
          <w:tcPr>
            <w:tcW w:type="dxa" w:w="6048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Implementación validada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Capability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ada-web-ui-page-readiness==0.1.0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Aplicación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ada-generic-application==0.2.5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Detección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MutationObserver sobre señales DOM contractuales dentro del scope.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Settling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160 ms como default actual.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Fade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240 ms como default actual; finalización por transitionend.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Persistencia browser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No utiliza localStorage ni sessionStorage.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Polling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No utiliza polling para detectar readiness.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Scope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Cada scope de Page Readiness agrega únicamente sus propias señales.</w:t>
            </w:r>
          </w:p>
        </w:tc>
      </w:tr>
    </w:tbl>
    <w:p>
      <w:pPr>
        <w:spacing w:after="0"/>
      </w:pPr>
    </w:p>
    <w:p>
      <w:r>
        <w:rPr>
          <w:rFonts w:ascii="Aptos" w:hAnsi="Aptos"/>
          <w:i/>
          <w:color w:val="555555"/>
          <w:sz w:val="19"/>
        </w:rPr>
        <w:t>Los valores de settling y fade son defaults de implementación del release validado. El contrato arquitectónico exige una ventana breve de asentamiento y una transición de salida; no depende conceptualmente de que esos valores permanezcan exactamente en 160/240 ms.</w:t>
      </w:r>
    </w:p>
    <w:p>
      <w:r>
        <w:br w:type="page"/>
      </w:r>
    </w:p>
    <w:p>
      <w:pPr>
        <w:pStyle w:val="Heading1"/>
      </w:pPr>
      <w:r>
        <w:t>11. Validación y criterio de cierre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6048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Validación</w:t>
            </w:r>
          </w:p>
        </w:tc>
        <w:tc>
          <w:tcPr>
            <w:tcW w:type="dxa" w:w="2880"/>
            <w:shd w:fill="E8EEF2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63640"/>
                <w:sz w:val="18"/>
              </w:rPr>
              <w:t>Resultado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Gate autoritativo Python 3.14.2 + UV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PASS / GREEN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Capability ada-web-ui-page-readiness 0.1.0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VALIDADO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Integración ada-generic-application 0.2.5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VALIDADA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Señales pendientes / parciales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Loader permanece visible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ALL=true estable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SETTLING → FADING → READY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Nueva señal false durante settling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Retorno a LOADING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READY latch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Callbacks posteriores no reactivan loader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Aislamiento por scope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VALIDADO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Manager fuera del contrato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82828"/>
                <w:sz w:val="17"/>
              </w:rPr>
              <w:t>VALIDADO POR FRONTERA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AF5ED"/>
            <w:tcBorders>
              <w:top w:val="single" w:sz="6" w:color="B7C9D6"/>
              <w:left w:val="single" w:sz="10" w:color="6E8FA5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C404C"/>
                <w:sz w:val="20"/>
              </w:rPr>
              <w:t>Checkpoint</w:t>
            </w:r>
          </w:p>
          <w:p>
            <w:pPr>
              <w:spacing w:before="0" w:after="0"/>
            </w:pPr>
            <w:r>
              <w:rPr>
                <w:rFonts w:ascii="Aptos" w:hAnsi="Aptos"/>
                <w:color w:val="2C2C2C"/>
                <w:sz w:val="19"/>
              </w:rPr>
              <w:t>PAGE-READINESS-001 queda CERRADO y VERDE. Cualquier cambio posterior debe preservar este contrato o abrir un incremento explícito.</w:t>
            </w:r>
          </w:p>
        </w:tc>
      </w:tr>
    </w:tbl>
    <w:p>
      <w:pPr>
        <w:spacing w:after="0"/>
      </w:pPr>
    </w:p>
    <w:p>
      <w:pPr>
        <w:pStyle w:val="Heading1"/>
      </w:pPr>
      <w:r>
        <w:t>12. Guía breve para mantenimiento</w:t>
      </w:r>
    </w:p>
    <w:p>
      <w:r>
        <w:rPr>
          <w:rFonts w:ascii="Aptos" w:hAnsi="Aptos"/>
          <w:sz w:val="20"/>
        </w:rPr>
        <w:t>Cuando se agregue una nueva pieza de UI inicial a ADA, verificar en este orden:</w:t>
      </w:r>
    </w:p>
    <w:p>
      <w:pPr>
        <w:spacing w:after="60"/>
        <w:ind w:left="173" w:hanging="173"/>
      </w:pPr>
      <w:r>
        <w:rPr>
          <w:rFonts w:ascii="Aptos" w:hAnsi="Aptos"/>
          <w:sz w:val="20"/>
        </w:rPr>
        <w:t>1.  El wrapper usa la component_key canónica existente.</w:t>
      </w:r>
    </w:p>
    <w:p>
      <w:pPr>
        <w:spacing w:after="60"/>
        <w:ind w:left="173" w:hanging="173"/>
      </w:pPr>
      <w:r>
        <w:rPr>
          <w:rFonts w:ascii="Aptos" w:hAnsi="Aptos"/>
          <w:sz w:val="20"/>
        </w:rPr>
        <w:t>2.  El wrapper expone data-ada-render-ready con estado inicial false.</w:t>
      </w:r>
    </w:p>
    <w:p>
      <w:pPr>
        <w:spacing w:after="60"/>
        <w:ind w:left="173" w:hanging="173"/>
      </w:pPr>
      <w:r>
        <w:rPr>
          <w:rFonts w:ascii="Aptos" w:hAnsi="Aptos"/>
          <w:sz w:val="20"/>
        </w:rPr>
        <w:t>3.  El callback que materializa esa UI publica true al completar su primera representación.</w:t>
      </w:r>
    </w:p>
    <w:p>
      <w:pPr>
        <w:spacing w:after="60"/>
        <w:ind w:left="173" w:hanging="173"/>
      </w:pPr>
      <w:r>
        <w:rPr>
          <w:rFonts w:ascii="Aptos" w:hAnsi="Aptos"/>
          <w:sz w:val="20"/>
        </w:rPr>
        <w:t>4.  Un estado visual de error controlado también termina el readiness cuando ya está renderizado.</w:t>
      </w:r>
    </w:p>
    <w:p>
      <w:pPr>
        <w:spacing w:after="60"/>
        <w:ind w:left="173" w:hanging="173"/>
      </w:pPr>
      <w:r>
        <w:rPr>
          <w:rFonts w:ascii="Aptos" w:hAnsi="Aptos"/>
          <w:sz w:val="20"/>
        </w:rPr>
        <w:t>5.  No se agregó ninguna lista central ni configuración por Tool.</w:t>
      </w:r>
    </w:p>
    <w:p>
      <w:pPr>
        <w:spacing w:after="60"/>
        <w:ind w:left="173" w:hanging="173"/>
      </w:pPr>
      <w:r>
        <w:rPr>
          <w:rFonts w:ascii="Aptos" w:hAnsi="Aptos"/>
          <w:sz w:val="20"/>
        </w:rPr>
        <w:t>6.  Después de READY, una actualización periódica no vuelve a mostrar el loader.</w:t>
      </w:r>
    </w:p>
    <w:p>
      <w:pPr>
        <w:spacing w:after="60"/>
        <w:ind w:left="173" w:hanging="173"/>
      </w:pPr>
      <w:r>
        <w:rPr>
          <w:rFonts w:ascii="Aptos" w:hAnsi="Aptos"/>
          <w:sz w:val="20"/>
        </w:rPr>
        <w:t>7.  Si la nueva pieza pertenece a Manager, no debe integrarse a este contrato.</w:t>
      </w:r>
    </w:p>
    <w:p>
      <w:pPr>
        <w:spacing w:before="240"/>
        <w:jc w:val="center"/>
      </w:pPr>
      <w:r>
        <w:rPr>
          <w:rFonts w:ascii="Aptos" w:hAnsi="Aptos"/>
          <w:b/>
          <w:color w:val="878787"/>
          <w:sz w:val="16"/>
        </w:rPr>
        <w:t>FIN DEL CONTRATO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PAGE-READINESS-001 · Contrato v1.0.0 · 31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E6E6E"/>
        <w:sz w:val="16"/>
      </w:rPr>
      <w:t>ATLANTICUS / ADA · PAGE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2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364F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153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02C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Menlo" w:hAnsi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