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40"/>
        <w:jc w:val="center"/>
      </w:pPr>
      <w:r>
        <w:t>ATLANTICUS R3.6 · ADA WEB PRODUCTIZATION</w:t>
      </w:r>
    </w:p>
    <w:p>
      <w:pPr>
        <w:spacing w:after="40"/>
        <w:jc w:val="center"/>
      </w:pPr>
      <w:r>
        <w:rPr>
          <w:b/>
          <w:color w:val="4F5B66"/>
          <w:sz w:val="30"/>
        </w:rPr>
        <w:t>Checkpoint de Continuidad · v1.2.0</w:t>
      </w:r>
    </w:p>
    <w:p>
      <w:pPr>
        <w:spacing w:after="200"/>
        <w:jc w:val="center"/>
      </w:pPr>
      <w:r>
        <w:rPr>
          <w:color w:val="626A73"/>
          <w:sz w:val="21"/>
        </w:rPr>
        <w:t>RESPONSIVE-HEADER-001 cerrado / GREEN · siguiente frente: RESPONSIVE-TIME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376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type="dxa" w:w="8208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7"/>
              </w:rPr>
              <w:t>Valor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Fecha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31 de agosto de 2026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Runtime objetivo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Python 3.14.2 + UV (nunca PIP)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ADA application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ada-generic-application==0.2.13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ADA UI Core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ada-web-ui-core==0.2.0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Header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7"/>
              </w:rPr>
              <w:t>ada-web-shell-header==0.1.8</w:t>
            </w:r>
          </w:p>
        </w:tc>
      </w:tr>
      <w:tr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Punto actual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7"/>
              </w:rPr>
              <w:t>RESPONSIVE-HEADER-001 CERRADO / GREEN; continuar con RESPONSIVE-TIME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sz w:val="18"/>
        </w:rPr>
        <w:t>Propósito. Este documento reemplaza al checkpoint v1.1.0 para el substream Atlanticus/ADA Web. Conserva los contratos previamente cerrados, registra el cierre definitivo de RESPONSiVE-HEADER-001 y deja el punto exacto de reanudación para RESPONSIVE-TIME. El repositorio actual sigue siendo autoridad de código, versiones y locks.</w:t>
      </w:r>
    </w:p>
    <w:p>
      <w:pPr>
        <w:pStyle w:val="Heading1"/>
      </w:pPr>
      <w:r>
        <w:t>1. Autoridad y reglas para retomar</w:t>
      </w:r>
    </w:p>
    <w:p>
      <w:pPr>
        <w:pStyle w:val="ListBullet"/>
        <w:spacing w:after="40"/>
      </w:pPr>
      <w:r>
        <w:rPr>
          <w:sz w:val="18"/>
        </w:rPr>
        <w:t>El repositorio `atlanticus` actual es autoridad para archivos, versiones y locks; este documento conserva decisiones y checkpoints.</w:t>
      </w:r>
    </w:p>
    <w:p>
      <w:pPr>
        <w:pStyle w:val="ListBullet"/>
        <w:spacing w:after="40"/>
      </w:pPr>
      <w:r>
        <w:rPr>
          <w:sz w:val="18"/>
        </w:rPr>
        <w:t>Python 3.14.2 + UV; nunca PIP.</w:t>
      </w:r>
    </w:p>
    <w:p>
      <w:pPr>
        <w:pStyle w:val="ListBullet"/>
        <w:spacing w:after="40"/>
      </w:pPr>
      <w:r>
        <w:rPr>
          <w:sz w:val="18"/>
        </w:rPr>
        <w:t>Legacy ADA / Integrated Operations / Flotación sólo sirve como cantera de comportamiento validado, no como arquitectura a restaurar.</w:t>
      </w:r>
    </w:p>
    <w:p>
      <w:pPr>
        <w:pStyle w:val="ListBullet"/>
        <w:spacing w:after="40"/>
      </w:pPr>
      <w:r>
        <w:rPr>
          <w:sz w:val="18"/>
        </w:rPr>
        <w:t>Contratos antes que consumidores, composición explícita y cambios pequeños verificables.</w:t>
      </w:r>
    </w:p>
    <w:p>
      <w:pPr>
        <w:pStyle w:val="ListBullet"/>
        <w:spacing w:after="40"/>
      </w:pPr>
      <w:r>
        <w:rPr>
          <w:sz w:val="18"/>
        </w:rPr>
        <w:t>Código productivo limpio + espejo pedagógico comentado equivalente en español.</w:t>
      </w:r>
    </w:p>
    <w:p>
      <w:pPr>
        <w:pStyle w:val="ListBullet"/>
        <w:spacing w:after="40"/>
      </w:pPr>
      <w:r>
        <w:rPr>
          <w:sz w:val="18"/>
        </w:rPr>
        <w:t>No reabrir incrementos GREEN salvo finding real o contradicción demostrable con el repo actual.</w:t>
      </w:r>
    </w:p>
    <w:p>
      <w:pPr>
        <w:pStyle w:val="Heading1"/>
      </w:pPr>
      <w:r>
        <w:t>2. Baseline Web validada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3240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Package</w:t>
            </w:r>
          </w:p>
        </w:tc>
        <w:tc>
          <w:tcPr>
            <w:tcW w:type="dxa" w:w="1656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Versión</w:t>
            </w:r>
          </w:p>
        </w:tc>
        <w:tc>
          <w:tcPr>
            <w:tcW w:type="dxa" w:w="5760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Responsabilidad / estado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ada-generic-application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0.2.13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Aplicación ADA después del cierre Responsive Header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ada-web-ui-core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0.2.0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Tokens root ADA namespaced `--ada-color-*`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ada-web-ui-page-readiness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0.1.0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Initial composition readiness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ada-web-ui-card-display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0.1.0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Primitive genérico de cards; Body composition aún pendiente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ada-web-ui-branding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0.1.6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Branding responsive aprobado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ada-web-ui-global-indicator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0.2.9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Global Indicators con fit final desktop/tablet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ada-web-alarm-management-summary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0.1.5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Alarm Management Summary responsive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ada-web-alarm-status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0.1.7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Alarm Status responsive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ada-web-shell-header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0.1.8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Header responsive cerrado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ada-web-shell-navigation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0.1.7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Navigation; videowall sin UI de menú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atlanticus-web-users-activity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0.1.0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User Activity core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atlanticus-web-composition-navigation-activity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0.1.0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Navigation → Activity</w:t>
            </w:r>
          </w:p>
        </w:tc>
      </w:tr>
      <w:tr>
        <w:tc>
          <w:tcPr>
            <w:tcW w:type="dxa" w:w="32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ada-web-kpi-inspection-preview</w:t>
            </w:r>
          </w:p>
        </w:tc>
        <w:tc>
          <w:tcPr>
            <w:tcW w:type="dxa" w:w="16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0.1.13</w:t>
            </w:r>
          </w:p>
        </w:tc>
        <w:tc>
          <w:tcPr>
            <w:tcW w:type="dxa" w:w="57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Preview alineado con aplicación actual</w:t>
            </w:r>
          </w:p>
        </w:tc>
      </w:tr>
    </w:tbl>
    <w:p>
      <w:pPr>
        <w:spacing w:after="20"/>
      </w:pPr>
    </w:p>
    <w:p>
      <w:pPr>
        <w:pStyle w:val="Heading1"/>
      </w:pPr>
      <w:r>
        <w:t>3. Incrementos cerrados / GREEN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448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Incremento</w:t>
            </w:r>
          </w:p>
        </w:tc>
        <w:tc>
          <w:tcPr>
            <w:tcW w:type="dxa" w:w="1080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7272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Contrato resumido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PWA-001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Manifest + Service Worker + registration genéricos; no mezclar con runtime ADA.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ADA-SESSION-001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Auto-reload Entra sólo en `/`; hidden difiere; workaround temporal.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ADA-WAKE-LOCK-001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Wake Lock sólo `/`; hidden release; visible reacquire; Manager excluido.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PAGE-READINESS-001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Readiness automático por wrappers; READY latched; loader visual propiedad de la Tool.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WEB-CSS-001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Tokens `--ada-color-*`, legacy eliminado, Dash bootstrap loading hygiene.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ACTIVITY-001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Session/heartbeat/visibility/pathname/viewport/active_seconds; Memory + Cosmos.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CARD-DISPLAY-001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Primitive genérico; Tool Projection es autoridad de IDs; sin inferencias de estado.</w:t>
            </w:r>
          </w:p>
        </w:tc>
      </w:tr>
      <w:tr>
        <w:tc>
          <w:tcPr>
            <w:tcW w:type="dxa" w:w="244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RESPONSIVE-HEADER-001</w:t>
            </w:r>
          </w:p>
        </w:tc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</w:t>
            </w:r>
          </w:p>
        </w:tc>
        <w:tc>
          <w:tcPr>
            <w:tcW w:type="dxa" w:w="727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Matriz Pelambres validada técnica y visualmente; mobile congelado; desktop/tablet calibrados.</w:t>
            </w:r>
          </w:p>
        </w:tc>
      </w:tr>
    </w:tbl>
    <w:p>
      <w:pPr>
        <w:spacing w:after="20"/>
      </w:pPr>
    </w:p>
    <w:p>
      <w:pPr>
        <w:pStyle w:val="Heading1"/>
      </w:pPr>
      <w:r>
        <w:t>4. RESPONSIVE-HEADER-001 — contrato final cerrado</w:t>
      </w:r>
    </w:p>
    <w:p>
      <w:pPr>
        <w:spacing w:after="80" w:line="252" w:lineRule="auto"/>
      </w:pPr>
      <w:r>
        <w:rPr>
          <w:sz w:val="18"/>
        </w:rPr>
        <w:t>Estado final: CERRADO / GREEN. La estructura responsive, las proporciones, la navegación y el fit de Global Indicators fueron validados en UI real. No reabrir esta etapa salvo finding real.</w:t>
      </w:r>
    </w:p>
    <w:p>
      <w:pPr>
        <w:pStyle w:val="Heading2"/>
      </w:pPr>
      <w:r>
        <w:t>4.1 Matriz canónica ADA / Pelambres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440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Ancho</w:t>
            </w:r>
          </w:p>
        </w:tc>
        <w:tc>
          <w:tcPr>
            <w:tcW w:type="dxa" w:w="2232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Modo</w:t>
            </w:r>
          </w:p>
        </w:tc>
        <w:tc>
          <w:tcPr>
            <w:tcW w:type="dxa" w:w="7128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Contrato final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&lt;350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Fallback mobile defensivo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Misma geometría mobile; no requiere calibración dedicada.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350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Mobile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Branding centrado; burger fuera del flujo; 2 GI/fila; impar centrado; Management/Status full width.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480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Mobile amplio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Misma geometría mobile; calibración aprobada y congelada.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1280–1365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Tablet Pelambres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Header horizontal compacto; todos los slots visibles; densidad desktop/tablet calibrada.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1366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Small Notebook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Header desktop normal con altura/densidad compacta.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1536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Notebook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Misma estructura; escala calibrada.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1920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Monitor Pelambres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Misma estructura; densidad calibrada para operación.</w:t>
            </w:r>
          </w:p>
        </w:tc>
      </w:tr>
      <w:tr>
        <w:tc>
          <w:tcPr>
            <w:tcW w:type="dxa" w:w="144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2560</w:t>
            </w:r>
          </w:p>
        </w:tc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Videowall Pelambres</w:t>
            </w:r>
          </w:p>
        </w:tc>
        <w:tc>
          <w:tcPr>
            <w:tcW w:type="dxa" w:w="71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Header amplio; sin burger, handle, trigger, offcanvas ni UI asociada al menú.</w:t>
            </w:r>
          </w:p>
        </w:tc>
      </w:tr>
    </w:tbl>
    <w:p>
      <w:pPr>
        <w:spacing w:after="20"/>
      </w:pPr>
    </w:p>
    <w:p>
      <w:pPr>
        <w:pStyle w:val="Heading2"/>
      </w:pPr>
      <w:r>
        <w:t>4.2 Mobile 350 / 480 congelado</w:t>
      </w:r>
    </w:p>
    <w:p>
      <w:pPr>
        <w:pStyle w:val="ListBullet"/>
        <w:spacing w:after="40"/>
      </w:pPr>
      <w:r>
        <w:rPr>
          <w:sz w:val="18"/>
        </w:rPr>
        <w:t>El Branding queda centrado respecto del viewport completo; el burger está fuera del flujo y el Header reserva espacio simétrico.</w:t>
      </w:r>
    </w:p>
    <w:p>
      <w:pPr>
        <w:pStyle w:val="ListBullet"/>
        <w:spacing w:after="40"/>
      </w:pPr>
      <w:r>
        <w:rPr>
          <w:sz w:val="18"/>
        </w:rPr>
        <w:t>Global Indicators: máximo 2 por fila; si la cantidad es impar, el último queda centrado automáticamente.</w:t>
      </w:r>
    </w:p>
    <w:p>
      <w:pPr>
        <w:pStyle w:val="ListBullet"/>
        <w:spacing w:after="40"/>
      </w:pPr>
      <w:r>
        <w:rPr>
          <w:sz w:val="18"/>
        </w:rPr>
        <w:t>Alarm Management y Alarm Status ocupan filas completas y permanecen accesibles.</w:t>
      </w:r>
    </w:p>
    <w:p>
      <w:pPr>
        <w:pStyle w:val="ListBullet"/>
        <w:spacing w:after="40"/>
      </w:pPr>
      <w:r>
        <w:rPr>
          <w:sz w:val="18"/>
        </w:rPr>
        <w:t>No volver a recalibrar 350/480 salvo finding real; la validación visual final fue aceptada.</w:t>
      </w:r>
    </w:p>
    <w:p>
      <w:pPr>
        <w:pStyle w:val="Heading2"/>
      </w:pPr>
      <w:r>
        <w:t>4.3 Desktop / Tablet / Videowall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00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Breakpoint</w:t>
            </w:r>
          </w:p>
        </w:tc>
        <w:tc>
          <w:tcPr>
            <w:tcW w:type="dxa" w:w="2376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Altura Header final</w:t>
            </w:r>
          </w:p>
        </w:tc>
        <w:tc>
          <w:tcPr>
            <w:tcW w:type="dxa" w:w="6624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Nota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1280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5.00rem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Tablet Pelambres compacta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1366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5.10rem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Small Notebook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1536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5.25rem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Notebook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1920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5.50rem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Monitor Pelambres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2560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6.25rem</w:t>
            </w:r>
          </w:p>
        </w:tc>
        <w:tc>
          <w:tcPr>
            <w:tcW w:type="dxa" w:w="662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Videowall; navegación totalmente suprimida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sz w:val="18"/>
        </w:rPr>
        <w:t>Jerarquía operacional. Global Indicators, Alarm Management y Alarm Status son protagonistas del Header. La calibración no debe degradar uno para favorecer a otro; el objetivo es equilibrio, legibilidad y uso eficiente del espacio.</w:t>
      </w:r>
    </w:p>
    <w:p>
      <w:pPr>
        <w:pStyle w:val="Heading2"/>
      </w:pPr>
      <w:r>
        <w:t>4.4 Global Indicators — fit final</w:t>
      </w:r>
    </w:p>
    <w:p>
      <w:pPr>
        <w:pStyle w:val="ListBullet"/>
        <w:spacing w:after="40"/>
      </w:pPr>
      <w:r>
        <w:rPr>
          <w:sz w:val="18"/>
        </w:rPr>
        <w:t>El ajuste final aplica sólo desde 1280 px; mobile queda byte-a-byte congelado.</w:t>
      </w:r>
    </w:p>
    <w:p>
      <w:pPr>
        <w:pStyle w:val="ListBullet"/>
        <w:spacing w:after="40"/>
      </w:pPr>
      <w:r>
        <w:rPr>
          <w:sz w:val="18"/>
        </w:rPr>
        <w:t>No se aumenta nuevamente la altura del Header ni se cambian las fuentes aprobadas.</w:t>
      </w:r>
    </w:p>
    <w:p>
      <w:pPr>
        <w:pStyle w:val="ListBullet"/>
        <w:spacing w:after="40"/>
      </w:pPr>
      <w:r>
        <w:rPr>
          <w:sz w:val="18"/>
        </w:rPr>
        <w:t>Se redistribuye respiración vertical interna para que `Última medición` y su valor queden completos, con aire superior e inferior y sin comprimir el contenido.</w:t>
      </w:r>
    </w:p>
    <w:p>
      <w:pPr>
        <w:pStyle w:val="ListBullet"/>
        <w:spacing w:after="40"/>
      </w:pPr>
      <w:r>
        <w:rPr>
          <w:sz w:val="18"/>
        </w:rPr>
        <w:t>Videowall mantiene paridad visual entre label y unit y separación adicional entre descriptor y valor.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1800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Breakpoint</w:t>
            </w:r>
          </w:p>
        </w:tc>
        <w:tc>
          <w:tcPr>
            <w:tcW w:type="dxa" w:w="2592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Padding vertical GI final</w:t>
            </w:r>
          </w:p>
        </w:tc>
        <w:tc>
          <w:tcPr>
            <w:tcW w:type="dxa" w:w="6408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1280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.10rem / .14rem</w:t>
            </w:r>
          </w:p>
        </w:tc>
        <w:tc>
          <w:tcPr>
            <w:tcW w:type="dxa" w:w="6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Respiración compacta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1366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.11rem / .15rem</w:t>
            </w:r>
          </w:p>
        </w:tc>
        <w:tc>
          <w:tcPr>
            <w:tcW w:type="dxa" w:w="6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Respiración compacta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1536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.12rem / .16rem</w:t>
            </w:r>
          </w:p>
        </w:tc>
        <w:tc>
          <w:tcPr>
            <w:tcW w:type="dxa" w:w="6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Respiración moderada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1920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.14rem / .18rem</w:t>
            </w:r>
          </w:p>
        </w:tc>
        <w:tc>
          <w:tcPr>
            <w:tcW w:type="dxa" w:w="6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Respiración monitor</w:t>
            </w:r>
          </w:p>
        </w:tc>
      </w:tr>
      <w:tr>
        <w:tc>
          <w:tcPr>
            <w:tcW w:type="dxa" w:w="1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2560</w:t>
            </w:r>
          </w:p>
        </w:tc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.18rem / .24rem</w:t>
            </w:r>
          </w:p>
        </w:tc>
        <w:tc>
          <w:tcPr>
            <w:tcW w:type="dxa" w:w="64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Respiración videowall</w:t>
            </w:r>
          </w:p>
        </w:tc>
      </w:tr>
    </w:tbl>
    <w:p>
      <w:pPr>
        <w:spacing w:after="20"/>
      </w:pPr>
    </w:p>
    <w:p>
      <w:pPr>
        <w:pStyle w:val="Heading1"/>
      </w:pPr>
      <w:r>
        <w:t>5. Contratos que no se deben reabrir</w:t>
      </w:r>
    </w:p>
    <w:p>
      <w:pPr>
        <w:pStyle w:val="ListBullet"/>
        <w:spacing w:after="40"/>
      </w:pPr>
      <w:r>
        <w:rPr>
          <w:sz w:val="18"/>
        </w:rPr>
        <w:t>PWA es Atlanticus Web genérico; Session reload y Wake Lock son runtime ADA independientes.</w:t>
      </w:r>
    </w:p>
    <w:p>
      <w:pPr>
        <w:pStyle w:val="ListBullet"/>
        <w:spacing w:after="40"/>
      </w:pPr>
      <w:r>
        <w:rPr>
          <w:sz w:val="18"/>
        </w:rPr>
        <w:t>Page Readiness mide finalización de render inicial, no salud de datos; EMPTY/ERROR/NOT_MAPPED pueden quedar READY.</w:t>
      </w:r>
    </w:p>
    <w:p>
      <w:pPr>
        <w:pStyle w:val="ListBullet"/>
        <w:spacing w:after="40"/>
      </w:pPr>
      <w:r>
        <w:rPr>
          <w:sz w:val="18"/>
        </w:rPr>
        <w:t>Tool Projection sigue siendo la única autoridad de component_key/wrapper_id y bindings de subcomponentes.</w:t>
      </w:r>
    </w:p>
    <w:p>
      <w:pPr>
        <w:pStyle w:val="ListBullet"/>
        <w:spacing w:after="40"/>
      </w:pPr>
      <w:r>
        <w:rPr>
          <w:sz w:val="18"/>
        </w:rPr>
        <w:t>BODY-PROJECTION sigue ausente y no debe reintroducirse.</w:t>
      </w:r>
    </w:p>
    <w:p>
      <w:pPr>
        <w:pStyle w:val="ListBullet"/>
        <w:spacing w:after="40"/>
      </w:pPr>
      <w:r>
        <w:rPr>
          <w:sz w:val="18"/>
        </w:rPr>
        <w:t>Activity consume AccessRuntime actual; no revivir `atlanticus-web-users` ni persistir display_name/email/subject_id crudo.</w:t>
      </w:r>
    </w:p>
    <w:p>
      <w:pPr>
        <w:pStyle w:val="ListBullet"/>
        <w:spacing w:after="40"/>
      </w:pPr>
      <w:r>
        <w:rPr>
          <w:sz w:val="18"/>
        </w:rPr>
        <w:t>Card Display no decide estados ni reconstruye IDs runtime.</w:t>
      </w:r>
    </w:p>
    <w:p>
      <w:pPr>
        <w:pStyle w:val="ListBullet"/>
        <w:spacing w:after="40"/>
      </w:pPr>
      <w:r>
        <w:rPr>
          <w:sz w:val="18"/>
        </w:rPr>
        <w:t>RESPONSIVE-HEADER-001 está cerrado; RESPONSIVE-TIME debe usar la misma matriz sin modificar nuevamente el Header.</w:t>
      </w:r>
    </w:p>
    <w:p>
      <w:pPr>
        <w:pStyle w:val="Heading1"/>
      </w:pPr>
      <w:r>
        <w:t>6. Activity y Card Display — recordatorio de frontera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592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8208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Contrato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Activity identidad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actor_key estable; provider_key; user_id sólo si Identity ya lo resolvió.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Activity eventos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session, heartbeat, visible/hidden, pathname, viewport y active_seconds.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Activity persistencia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Memory + Cosmos; Cosmos recibe container inyectado y usa ETag. Producción requiere persistencia real compuesta.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Card Display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content / regions / footer / overlay; IDs recibidos desde Tool Projection.</w:t>
            </w:r>
          </w:p>
        </w:tc>
      </w:tr>
      <w:tr>
        <w:tc>
          <w:tcPr>
            <w:tcW w:type="dxa" w:w="259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Card Display estados</w:t>
            </w:r>
          </w:p>
        </w:tc>
        <w:tc>
          <w:tcPr>
            <w:tcW w:type="dxa" w:w="82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Sin DisplayCardType, card_type ni heurísticas de strings.</w:t>
            </w:r>
          </w:p>
        </w:tc>
      </w:tr>
    </w:tbl>
    <w:p>
      <w:pPr>
        <w:spacing w:after="20"/>
      </w:pPr>
    </w:p>
    <w:p>
      <w:pPr>
        <w:pStyle w:val="Heading1"/>
      </w:pPr>
      <w:r>
        <w:t>7. Artefactos finales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2232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Incremento</w:t>
            </w:r>
          </w:p>
        </w:tc>
        <w:tc>
          <w:tcPr>
            <w:tcW w:type="dxa" w:w="4680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Artefacto</w:t>
            </w:r>
          </w:p>
        </w:tc>
        <w:tc>
          <w:tcPr>
            <w:tcW w:type="dxa" w:w="3888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SHA-256 / nota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ACTIVITY-001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atlanticus-activity-001-web-user-activity-0.1.1.zip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c0c2e162d86e732a0b0b5f101909b9cb07041cdca0f416b7eafc7df724db1cc9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CARD-DISPLAY-001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atlanticus-card-display-001-generic-primitive-0.1.0.zip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d101b142be31f3debfd5ac48705c5866a9bcc406ab18c638405a769dcec6aed5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RESPONSIVE-HEADER-001 final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atlanticus-responsive-header-001-global-indicator-breathing-0.1.12.zip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9399231f06454a400a54fb1cd1dd7bc41beee3a2911ae2fe1195d622a08a4488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Visual gate final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atlanticus-responsive-header-001-visual-gate-0.1.6.zip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701f711cdba1b8959160334db69b4a4ec2e197dbd566465ab7498f6126aeddbb</w:t>
            </w:r>
          </w:p>
        </w:tc>
      </w:tr>
      <w:tr>
        <w:tc>
          <w:tcPr>
            <w:tcW w:type="dxa" w:w="2232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Page Readiness contract</w:t>
            </w:r>
          </w:p>
        </w:tc>
        <w:tc>
          <w:tcPr>
            <w:tcW w:type="dxa" w:w="46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Atlanticus_ADA_PAGE_READINESS_001_Contrato_v1.0.0.docx</w:t>
            </w:r>
          </w:p>
        </w:tc>
        <w:tc>
          <w:tcPr>
            <w:tcW w:type="dxa" w:w="388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Documento contractual validado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sz w:val="18"/>
        </w:rPr>
        <w:t>Artefactos responsive anteriores. Los ZIP intermedios de RESPONSiVE-HEADER-001 quedan como historial de iteración y NO son candidatos de instalación. El artefacto final autoritativo del incremento es `atlanticus-responsive-header-001-global-indicator-breathing-0.1.12.zip`.</w:t>
      </w:r>
    </w:p>
    <w:p>
      <w:pPr>
        <w:pStyle w:val="Heading1"/>
      </w:pPr>
      <w:r>
        <w:t>8. Lecciones de installers / gates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1944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Lección</w:t>
            </w:r>
          </w:p>
        </w:tc>
        <w:tc>
          <w:tcPr>
            <w:tcW w:type="dxa" w:w="8856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5"/>
              </w:rPr>
              <w:t>Regla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Locks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Normalizar antes del snapshot; comparar contra baseline normalizado, no lock stale.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Resume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Distinguir fresh / installed / stale-test / mixed cuando el incremento puede quedar parcialmente materializado.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Rollback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Trap EXIT y restauración completa de todo archivo/lock tocado.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Tests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Auditar expectativas legacy completas antes de empaquetar; los cambios visuales suelen dejar asserts de valores antiguos.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Payload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Manifest después de limpiar caches; verificar ZIP post-compresión/post-extracción.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Generated files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Excluir sólo caches, *.egg-info y artefactos runtime; nunca código productivo.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Ruff / mirrors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5"/>
              </w:rPr>
              <w:t>Validar equivalencia AST cuando Ruff reformatee Python; espejos comentados deben seguir semánticamente equivalentes.</w:t>
            </w:r>
          </w:p>
        </w:tc>
      </w:tr>
      <w:tr>
        <w:tc>
          <w:tcPr>
            <w:tcW w:type="dxa" w:w="194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Visual gate</w:t>
            </w:r>
          </w:p>
        </w:tc>
        <w:tc>
          <w:tcPr>
            <w:tcW w:type="dxa" w:w="885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5"/>
              </w:rPr>
              <w:t>Un incremento responsive no se cierra sólo con pytest: exige UI real y revisión en los breakpoints contractuales.</w:t>
            </w:r>
          </w:p>
        </w:tc>
      </w:tr>
    </w:tbl>
    <w:p>
      <w:pPr>
        <w:spacing w:after="20"/>
      </w:pPr>
    </w:p>
    <w:p>
      <w:pPr>
        <w:pStyle w:val="Heading1"/>
      </w:pPr>
      <w:r>
        <w:t>9. Punto exacto para retomar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tblHeader w:val="true"/>
        </w:trPr>
        <w:tc>
          <w:tcPr>
            <w:tcW w:type="dxa" w:w="864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Orden</w:t>
            </w:r>
          </w:p>
        </w:tc>
        <w:tc>
          <w:tcPr>
            <w:tcW w:type="dxa" w:w="2376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Frente</w:t>
            </w:r>
          </w:p>
        </w:tc>
        <w:tc>
          <w:tcPr>
            <w:tcW w:type="dxa" w:w="7560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Estado / siguiente decisión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RESPONSIVE-TIME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SIGUIENTE. Usar exactamente 350/480/1280/1366/1536/1920/2560; no modificar Responsive Header.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Body / Zoom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Al llegar al Body: Tablet Pelambres 1280–1365 usa zoom always-on y sin control de cierre.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Manager UX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Frente posterior; lifecycle de loader Manager sigue separado.</w:t>
            </w:r>
          </w:p>
        </w:tc>
      </w:tr>
      <w:tr>
        <w:tc>
          <w:tcPr>
            <w:tcW w:type="dxa" w:w="86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376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Activity activation / analytics</w:t>
            </w:r>
          </w:p>
        </w:tc>
        <w:tc>
          <w:tcPr>
            <w:tcW w:type="dxa" w:w="756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No activar con Memory; requiere persistencia real y composición explícita. Analytics Manager queda aparte.</w:t>
            </w:r>
          </w:p>
        </w:tc>
      </w:tr>
    </w:tbl>
    <w:p>
      <w:pPr>
        <w:spacing w:after="20"/>
      </w:pPr>
    </w:p>
    <w:p>
      <w:pPr>
        <w:pStyle w:val="Heading1"/>
      </w:pPr>
      <w:r>
        <w:t>10. Requerimiento futuro congelado — Body Zoom Tablet Pelambres</w:t>
      </w:r>
    </w:p>
    <w:p>
      <w:pPr>
        <w:spacing w:after="80" w:line="252" w:lineRule="auto"/>
      </w:pPr>
      <w:r>
        <w:rPr>
          <w:sz w:val="18"/>
        </w:rPr>
        <w:t>Cuando se implemente el zoom del Body, el modo Tablet Pelambres (1280–1365) debe usar zoom siempre activo y no debe exponer la opción de cerrarlo. En desktop el zoom puede seguir siendo controlable. Esta regla NO pertenece a RESPONSIVE-TIME ni debe introducirse anticipadamente.</w:t>
      </w:r>
    </w:p>
    <w:p>
      <w:pPr>
        <w:pStyle w:val="Heading1"/>
      </w:pPr>
      <w:r>
        <w:t>11. Paquete mínimo para un nuevo chat</w:t>
      </w:r>
    </w:p>
    <w:p>
      <w:pPr>
        <w:pStyle w:val="ListBullet"/>
        <w:spacing w:after="40"/>
      </w:pPr>
      <w:r>
        <w:rPr>
          <w:sz w:val="18"/>
        </w:rPr>
        <w:t>ZIP actual del repositorio `atlanticus` después del cierre GREEN de RESPONSiVE-HEADER-001.</w:t>
      </w:r>
    </w:p>
    <w:p>
      <w:pPr>
        <w:pStyle w:val="ListBullet"/>
        <w:spacing w:after="40"/>
      </w:pPr>
      <w:r>
        <w:rPr>
          <w:sz w:val="18"/>
        </w:rPr>
        <w:t>Este documento `Atlanticus_ADA_Web_Checkpoint_Continuidad_v1.2.0.docx`.</w:t>
      </w:r>
    </w:p>
    <w:p>
      <w:pPr>
        <w:pStyle w:val="ListBullet"/>
        <w:spacing w:after="40"/>
      </w:pPr>
      <w:r>
        <w:rPr>
          <w:sz w:val="18"/>
        </w:rPr>
        <w:t>`Atlanticus_ADA_PAGE_READINESS_001_Contrato_v1.0.0.docx` sólo si el trabajo toca loaders/readiness.</w:t>
      </w:r>
    </w:p>
    <w:p>
      <w:pPr>
        <w:pStyle w:val="ListBullet"/>
        <w:spacing w:after="40"/>
      </w:pPr>
      <w:r>
        <w:rPr>
          <w:sz w:val="18"/>
        </w:rPr>
        <w:t>Legacy ADA/Flotación sólo cuando sea necesario comparar comportamiento, nunca como autoridad.</w:t>
      </w:r>
    </w:p>
    <w:p>
      <w:pPr>
        <w:pStyle w:val="Heading1"/>
      </w:pPr>
      <w:r>
        <w:t>12. Mensaje listo para iniciar un chat nuevo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4"/>
      </w:tblGrid>
      <w:tr>
        <w:trPr>
          <w:tblHeader w:val="true"/>
        </w:trPr>
        <w:tc>
          <w:tcPr>
            <w:tcW w:type="dxa" w:w="10800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Mensaje de reanudación</w:t>
            </w:r>
          </w:p>
        </w:tc>
      </w:tr>
      <w:tr>
        <w:tc>
          <w:tcPr>
            <w:tcW w:type="dxa" w:w="1080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EEF2F5"/>
          </w:tcPr>
          <w:p>
            <w:pPr>
              <w:spacing w:after="0"/>
            </w:pPr>
            <w:r>
              <w:rPr>
                <w:sz w:val="16"/>
              </w:rPr>
              <w:t>Continuemos Atlanticus desde `Atlanticus_ADA_Web_Checkpoint_Continuidad_v1.2.0`. El repositorio adjunto es la autoridad actual. PWA, SESSION, WAKE LOCK, PAGE-READINESS, WEB-CSS-001, ACTIVITY-001, CARD-DISPLAY-001 y RESPONSIVE-HEADER-001 están CERRADOS/GREEN; no los reabras salvo finding real. La aplicación está en `ada-generic-application==0.2.13`, Header `0.1.8`, Navigation `0.1.7`, Branding `0.1.6`, Global Indicator `0.2.9`, Alarm Management `0.1.5` y Alarm Status `0.1.7`. La matriz responsive canónica es 350/480/1280/1366/1536/1920/2560. Mobile 350/480 está congelado; 1280–1365 es Tablet Pelambres; 2560 no muestra ninguna UI de navegación. El siguiente incremento es RESPONSIVE-TIME y debe usar la misma matriz sin modificar Header. Más adelante, Body Zoom en Tablet Pelambres será always-on y sin opción de cierre. Mantén Python 3.14.2 + UV, cambios pequeños, tests y espejo comentado, sin aliases legacy ni ampliación de scope.</w:t>
            </w:r>
          </w:p>
        </w:tc>
      </w:tr>
    </w:tbl>
    <w:p>
      <w:pPr>
        <w:spacing w:after="20"/>
      </w:pPr>
    </w:p>
    <w:p>
      <w:pPr>
        <w:pStyle w:val="Heading1"/>
      </w:pPr>
      <w:r>
        <w:t>13. Resumen ejecutivo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tblHeader w:val="true"/>
        </w:trPr>
        <w:tc>
          <w:tcPr>
            <w:tcW w:type="dxa" w:w="2880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Área</w:t>
            </w:r>
          </w:p>
        </w:tc>
        <w:tc>
          <w:tcPr>
            <w:tcW w:type="dxa" w:w="7920"/>
            <w:shd w:fill="4F5B6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PWA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GREEN; foundation Atlanticus Web genérica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Session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GREEN; workaround ADA por Entra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Wake Lock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GREEN; root operacional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Page Readiness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GREEN; readiness automático + loader por Tool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CSS / Tokens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GREEN; tokens semánticos + Dash loading hygiene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Activity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GREEN; core + Navigation integration; activación productiva pendiente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Card Display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GREEN; primitive genérico; Body composition pendiente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Responsive Header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GREEN; matriz Pelambres técnica y visualmente cerrada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Responsive Time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>
              <w:rPr>
                <w:sz w:val="16"/>
              </w:rPr>
              <w:t>SIGUIENTE</w:t>
            </w:r>
          </w:p>
        </w:tc>
      </w:tr>
      <w:tr>
        <w:tc>
          <w:tcPr>
            <w:tcW w:type="dxa" w:w="28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Body Zoom Tablet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3F5F7"/>
          </w:tcPr>
          <w:p>
            <w:pPr>
              <w:spacing w:after="0"/>
            </w:pPr>
            <w:r>
              <w:rPr>
                <w:sz w:val="16"/>
              </w:rPr>
              <w:t>REQUERIMIENTO FUTURO: always-on 1280–1365, sin close</w:t>
            </w:r>
          </w:p>
        </w:tc>
      </w:tr>
    </w:tbl>
    <w:p>
      <w:pPr>
        <w:spacing w:after="20"/>
      </w:pPr>
    </w:p>
    <w:p>
      <w:pPr>
        <w:spacing w:before="200"/>
        <w:jc w:val="center"/>
      </w:pPr>
      <w:r>
        <w:rPr>
          <w:b/>
          <w:color w:val="626A73"/>
          <w:sz w:val="17"/>
        </w:rPr>
        <w:t>FIN DEL HANDOFF · El repositorio actual manda; este documento conserva las decisiones cerradas.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30363B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4F5B66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3036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 w:eastAsia="Aptos"/>
      <w:b w:val="0"/>
      <w:i/>
      <w:iCs/>
      <w:color w:val="626A73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