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ATLANTICUS R3.6 · ADA WEB PRODUCTIZATION</w:t>
      </w:r>
    </w:p>
    <w:p>
      <w:pPr>
        <w:spacing w:after="40"/>
        <w:jc w:val="center"/>
      </w:pPr>
      <w:r>
        <w:t>Checkpoint de Continuidad · v1.3.0</w:t>
      </w:r>
    </w:p>
    <w:p>
      <w:pPr>
        <w:spacing w:after="200"/>
        <w:jc w:val="center"/>
      </w:pPr>
      <w:r>
        <w:t>RESPONSIVE-HEADER-001 cerrado / GREEN · RESPONSIVE-TIME-001 candidato final · pendiente gate autoritativo y auditoría de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tblHeader w:val="true"/>
        </w:trPr>
        <w:tc>
          <w:tcPr>
            <w:tcW w:type="dxa" w:w="2376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Fecha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31 de agosto de 2026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Runtime objetivo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Python 3.14.2 + UV (nunca PIP)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 application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ada-generic-application==0.2.17 (postestado candidato RESPONSiVE-TIME-001)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 UI Core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ada-web-ui-core==0.2.0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Header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ada-web-shell-header==0.1.8 — congelado / GREEN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Punto actual</w:t>
            </w:r>
          </w:p>
        </w:tc>
        <w:tc>
          <w:tcPr>
            <w:tcW w:type="dxa" w:w="82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RESPONSIVE-TIME-001 candidato final; falta gate autoritativo + visual final. Header no se reabre.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t>Propósito. Este documento reemplaza al checkpoint v1.2.0 para el substream Atlanticus/ADA Web. Conserva los contratos previamente cerrados, registra el candidato final de RESPONSiVE-TIME-001 y deja explícito el gate que falta para declararlo GREEN. También registra como pendiente la auditoría de los validators `scripts/validate_css_tokens.py` y `scripts/validate_mirrors.py`. El repositorio actual sigue siendo autoridad de código, versiones y locks.</w:t>
      </w:r>
    </w:p>
    <w:p>
      <w:pPr>
        <w:pStyle w:val="Heading1"/>
        <w:keepNext/>
      </w:pPr>
      <w:r>
        <w:t>1. Autoridad y reglas para retomar</w:t>
      </w:r>
    </w:p>
    <w:p>
      <w:pPr>
        <w:pStyle w:val="ListBullet"/>
        <w:spacing w:after="40"/>
      </w:pPr>
      <w:r>
        <w:rPr>
          <w:sz w:val="18"/>
        </w:rPr>
        <w:t>El repositorio `atlanticus` actual es autoridad para archivos, versiones y locks; este documento conserva decisiones y checkpoints.</w:t>
      </w:r>
    </w:p>
    <w:p>
      <w:pPr>
        <w:pStyle w:val="ListBullet"/>
        <w:spacing w:after="40"/>
      </w:pPr>
      <w:r>
        <w:rPr>
          <w:sz w:val="18"/>
        </w:rPr>
        <w:t>Python 3.14.2 + UV; nunca PIP.</w:t>
      </w:r>
    </w:p>
    <w:p>
      <w:pPr>
        <w:pStyle w:val="ListBullet"/>
        <w:spacing w:after="40"/>
      </w:pPr>
      <w:r>
        <w:rPr>
          <w:sz w:val="18"/>
        </w:rPr>
        <w:t>Legacy ADA / Integrated Operations / Flotación sólo sirve como cantera de comportamiento validado, no como arquitectura a restaurar.</w:t>
      </w:r>
    </w:p>
    <w:p>
      <w:pPr>
        <w:pStyle w:val="ListBullet"/>
        <w:spacing w:after="40"/>
      </w:pPr>
      <w:r>
        <w:rPr>
          <w:sz w:val="18"/>
        </w:rPr>
        <w:t>Contratos antes que consumidores, composición explícita y cambios pequeños verificables.</w:t>
      </w:r>
    </w:p>
    <w:p>
      <w:pPr>
        <w:pStyle w:val="ListBullet"/>
        <w:spacing w:after="40"/>
      </w:pPr>
      <w:r>
        <w:rPr>
          <w:sz w:val="18"/>
        </w:rPr>
        <w:t>Código productivo limpio + espejo pedagógico comentado equivalente en español.</w:t>
      </w:r>
    </w:p>
    <w:p>
      <w:pPr>
        <w:pStyle w:val="ListBullet"/>
        <w:spacing w:after="40"/>
      </w:pPr>
      <w:r>
        <w:rPr>
          <w:sz w:val="18"/>
        </w:rPr>
        <w:t>No reabrir incrementos GREEN salvo finding real o contradicción demostrable con el repo actual.</w:t>
      </w:r>
    </w:p>
    <w:p>
      <w:pPr>
        <w:pStyle w:val="Heading1"/>
        <w:keepNext/>
      </w:pPr>
      <w:r>
        <w:t>2. Baseline Web validada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tblHeader w:val="true"/>
        </w:trPr>
        <w:tc>
          <w:tcPr>
            <w:tcW w:type="dxa" w:w="324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656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76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Responsabilidad / estado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ada-generic-application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0.2.17*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Postestado esperado del candidato final RESPONSiVE-TIME-001; confirmar con gate autoritativo.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ada-web-ui-core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0.2.0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Tokens root ADA namespaced `--ada-color-*`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ada-web-ui-page-readiness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Initial composition readiness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ada-web-ui-card-display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Primitive genérico de cards; Body composition aún pendiente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ada-web-ui-branding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0.1.6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Branding responsive aprobado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ada-web-ui-global-indicator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0.2.9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Global Indicators con fit final desktop/tablet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ada-web-alarm-management-summary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0.1.5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Alarm Management Summary responsive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ada-web-alarm-status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0.1.7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Alarm Status responsive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ada-web-shell-header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0.1.8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Header responsive cerrado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ada-web-shell-navigation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0.1.7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Navigation; videowall sin UI de menú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atlanticus-web-users-activity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User Activity core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atlanticus-web-composition-navigation-activity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Navigation → Activity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ada-web-kpi-inspection-preview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0.1.17*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Preview alineado al postestado candidato; confirmar con gate autoritativo.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ada-web-ui-time-status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0.1.15*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Candidato final responsive; mobile vertical full-width; funcionalidad y colores preservados.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Incrementos cerrados / GREEN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tblHeader w:val="true"/>
        </w:trPr>
        <w:tc>
          <w:tcPr>
            <w:tcW w:type="dxa" w:w="2448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Incremento</w:t>
            </w:r>
          </w:p>
        </w:tc>
        <w:tc>
          <w:tcPr>
            <w:tcW w:type="dxa" w:w="108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272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Contrato resumido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PWA-001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 + Service Worker + registration genéricos; no mezclar con runtime ADA.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ADA-SESSION-001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Auto-reload Entra sólo en `/`; hidden difiere; workaround temporal.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ADA-WAKE-LOCK-001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Wake Lock sólo `/`; hidden release; visible reacquire; Manager excluido.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PAGE-READINESS-001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Readiness automático por wrappers; READY latched; loader visual propiedad de la Tool.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WEB-CSS-001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Tokens `--ada-color-*`, legacy eliminado, Dash bootstrap loading hygiene.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Session/heartbeat/visibility/pathname/viewport/active_seconds; Memory + Cosmos.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CARD-DISPLAY-001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Primitive genérico; Tool Projection es autoridad de IDs; sin inferencias de estado.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RESPONSIVE-HEADER-001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Matriz Pelambres validada técnica y visualmente; mobile congelado; desktop/tablet calibrados.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RESPONSIVE-TIME-001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CANDIDATO FINAL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Layout mobile vertical y full-width; &gt;=1280 preserva contrato existente. Falta gate autoritativo + visual final antes de GREEN.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RESPONSIVE-HEADER-001 — contrato final cerrado</w:t>
      </w:r>
    </w:p>
    <w:p>
      <w:pPr>
        <w:spacing w:after="80" w:line="252" w:lineRule="auto"/>
      </w:pPr>
      <w:r>
        <w:rPr>
          <w:sz w:val="18"/>
        </w:rPr>
        <w:t>Estado final: CERRADO / GREEN. La estructura responsive, las proporciones, la navegación y el fit de Global Indicators fueron validados en UI real. No reabrir esta etapa salvo finding real.</w:t>
      </w:r>
    </w:p>
    <w:p>
      <w:pPr>
        <w:pStyle w:val="Heading2"/>
        <w:keepNext/>
      </w:pPr>
      <w:r>
        <w:t>4.1 Matriz canónica ADA / Pelambres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144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Ancho</w:t>
            </w:r>
          </w:p>
        </w:tc>
        <w:tc>
          <w:tcPr>
            <w:tcW w:type="dxa" w:w="2232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type="dxa" w:w="7128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Contrato final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&lt;350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Fallback mobile defensivo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Misma geometría mobile; no requiere calibración dedicada.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350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Mobile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Branding centrado; burger fuera del flujo; 2 GI/fila; impar centrado; Management/Status full width.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480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 amplio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Misma geometría mobile; calibración aprobada y congelada.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1280–1365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Tablet Pelambres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Header horizontal compacto; todos los slots visibles; densidad desktop/tablet calibrada.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1366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Small Notebook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Header desktop normal con altura/densidad compacta.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1536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Notebook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Misma estructura; escala calibrada.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1920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 Pelambres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Misma estructura; densidad calibrada para operación.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2560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Videowall Pelambres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Header amplio; sin burger, handle, trigger, offcanvas ni UI asociada al menú.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Mobile 350 / 480 congelado</w:t>
      </w:r>
    </w:p>
    <w:p>
      <w:pPr>
        <w:pStyle w:val="ListBullet"/>
        <w:spacing w:after="40"/>
      </w:pPr>
      <w:r>
        <w:rPr>
          <w:sz w:val="18"/>
        </w:rPr>
        <w:t>El Branding queda centrado respecto del viewport completo; el burger está fuera del flujo y el Header reserva espacio simétrico.</w:t>
      </w:r>
    </w:p>
    <w:p>
      <w:pPr>
        <w:pStyle w:val="ListBullet"/>
        <w:spacing w:after="40"/>
      </w:pPr>
      <w:r>
        <w:rPr>
          <w:sz w:val="18"/>
        </w:rPr>
        <w:t>Global Indicators: máximo 2 por fila; si la cantidad es impar, el último queda centrado automáticamente.</w:t>
      </w:r>
    </w:p>
    <w:p>
      <w:pPr>
        <w:pStyle w:val="ListBullet"/>
        <w:spacing w:after="40"/>
      </w:pPr>
      <w:r>
        <w:rPr>
          <w:sz w:val="18"/>
        </w:rPr>
        <w:t>Alarm Management y Alarm Status ocupan filas completas y permanecen accesibles.</w:t>
      </w:r>
    </w:p>
    <w:p>
      <w:pPr>
        <w:pStyle w:val="ListBullet"/>
        <w:spacing w:after="40"/>
      </w:pPr>
      <w:r>
        <w:rPr>
          <w:sz w:val="18"/>
        </w:rPr>
        <w:t>No volver a recalibrar 350/480 salvo finding real; la validación visual final fue aceptada.</w:t>
      </w:r>
    </w:p>
    <w:p>
      <w:pPr>
        <w:pStyle w:val="Heading2"/>
        <w:keepNext/>
      </w:pPr>
      <w:r>
        <w:t>4.3 Desktop / Tablet / Videowall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180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2376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Altura Header final</w:t>
            </w:r>
          </w:p>
        </w:tc>
        <w:tc>
          <w:tcPr>
            <w:tcW w:type="dxa" w:w="6624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1280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5.00rem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Tablet Pelambres compacta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1366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5.10rem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Small Notebook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1536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5.25rem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Notebook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1920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5.50rem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Monitor Pelambres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2560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6.25rem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Videowall; navegación totalmente suprimida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sz w:val="18"/>
        </w:rPr>
        <w:t>Jerarquía operacional. Global Indicators, Alarm Management y Alarm Status son protagonistas del Header. La calibración no debe degradar uno para favorecer a otro; el objetivo es equilibrio, legibilidad y uso eficiente del espacio.</w:t>
      </w:r>
    </w:p>
    <w:p>
      <w:pPr>
        <w:pStyle w:val="Heading2"/>
        <w:keepNext/>
      </w:pPr>
      <w:r>
        <w:t>4.4 Global Indicators — fit final</w:t>
      </w:r>
    </w:p>
    <w:p>
      <w:pPr>
        <w:pStyle w:val="ListBullet"/>
        <w:spacing w:after="40"/>
      </w:pPr>
      <w:r>
        <w:rPr>
          <w:sz w:val="18"/>
        </w:rPr>
        <w:t>El ajuste final aplica sólo desde 1280 px; mobile queda byte-a-byte congelado.</w:t>
      </w:r>
    </w:p>
    <w:p>
      <w:pPr>
        <w:pStyle w:val="ListBullet"/>
        <w:spacing w:after="40"/>
      </w:pPr>
      <w:r>
        <w:rPr>
          <w:sz w:val="18"/>
        </w:rPr>
        <w:t>No se aumenta nuevamente la altura del Header ni se cambian las fuentes aprobadas.</w:t>
      </w:r>
    </w:p>
    <w:p>
      <w:pPr>
        <w:pStyle w:val="ListBullet"/>
        <w:spacing w:after="40"/>
      </w:pPr>
      <w:r>
        <w:rPr>
          <w:sz w:val="18"/>
        </w:rPr>
        <w:t>Se redistribuye respiración vertical interna para que `Última medición` y su valor queden completos, con aire superior e inferior y sin comprimir el contenido.</w:t>
      </w:r>
    </w:p>
    <w:p>
      <w:pPr>
        <w:pStyle w:val="ListBullet"/>
        <w:spacing w:after="40"/>
      </w:pPr>
      <w:r>
        <w:rPr>
          <w:sz w:val="18"/>
        </w:rPr>
        <w:t>Videowall mantiene paridad visual entre label y unit y separación adicional entre descriptor y valor.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</w:trPr>
        <w:tc>
          <w:tcPr>
            <w:tcW w:type="dxa" w:w="180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2592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Padding vertical GI final</w:t>
            </w:r>
          </w:p>
        </w:tc>
        <w:tc>
          <w:tcPr>
            <w:tcW w:type="dxa" w:w="6408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1280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.10rem / .14rem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Respiración compacta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1366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.11rem / .15rem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Respiración compacta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1536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.12rem / .16rem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Respiración moderada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1920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.14rem / .18rem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Respiración monitor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2560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.18rem / .24rem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Respiración videowall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5. RESPONSIVE-TIME-001 — candidato final</w:t>
      </w:r>
    </w:p>
    <w:p>
      <w:pPr/>
      <w:r>
        <w:rPr>
          <w:b/>
        </w:rPr>
        <w:t>Estado actual:</w:t>
      </w:r>
      <w:r>
        <w:t xml:space="preserve"> CANDIDATO FINAL. El contrato responsive y el último microajuste están definidos, pero este documento no lo marca GREEN porque todavía no se ha recibido evidencia del gate autoritativo final `[9/9]` ni una validación visual posterior al retiro de `padding-inline` mobile.</w:t>
      </w:r>
    </w:p>
    <w:p>
      <w:pPr>
        <w:pStyle w:val="Heading2"/>
        <w:keepNext/>
      </w:pPr>
      <w:r>
        <w:t>5.1 Contrato funcional preservado</w:t>
      </w:r>
    </w:p>
    <w:p>
      <w:pPr>
        <w:pStyle w:val="ListBullet"/>
      </w:pPr>
      <w:r>
        <w:t>Se mantienen los colores, estados FRESH / PREVENTIVE / HARD_STALE / DATA_ERROR, timestamps, callbacks y semántica Time Status.</w:t>
      </w:r>
    </w:p>
    <w:p>
      <w:pPr>
        <w:pStyle w:val="ListBullet"/>
      </w:pPr>
      <w:r>
        <w:t>La superficie seleccionable que abre el detalle sigue sin affordance visual adicional; no se agregan iconos, hover ni texto explicativo.</w:t>
      </w:r>
    </w:p>
    <w:p>
      <w:pPr>
        <w:pStyle w:val="ListBullet"/>
      </w:pPr>
      <w:r>
        <w:t>El Detail Surface / popover conserva su funcionamiento, fuente, tamaño y geometría; RESPONSiVE-TIME-001 no lo rediseña.</w:t>
      </w:r>
    </w:p>
    <w:p>
      <w:pPr>
        <w:pStyle w:val="ListBullet"/>
      </w:pPr>
      <w:r>
        <w:t>Dispatch sigue siendo opcional según la Tool; si no existe, no se reserva una fila vacía.</w:t>
      </w:r>
    </w:p>
    <w:p>
      <w:pPr>
        <w:pStyle w:val="Heading2"/>
        <w:keepNext/>
      </w:pPr>
      <w:r>
        <w:t>5.2 Mobile &lt;1280 — geometría final candidata</w:t>
      </w:r>
    </w:p>
    <w:p>
      <w:pPr>
        <w:pStyle w:val="ListBullet"/>
      </w:pPr>
      <w:r>
        <w:t>Un source por línea: PI; debajo Dispatch si existe; debajo Fecha y hora.</w:t>
      </w:r>
    </w:p>
    <w:p>
      <w:pPr>
        <w:pStyle w:val="ListBullet"/>
      </w:pPr>
      <w:r>
        <w:t>Dentro de cada fila el contenido permanece corrido desde la izquierda: icono → label → • → valor. No hay `space-between` ni columnas artificiales.</w:t>
      </w:r>
    </w:p>
    <w:p>
      <w:pPr>
        <w:pStyle w:val="ListBullet"/>
      </w:pPr>
      <w:r>
        <w:t>PI y Dispatch ocupan el ancho completo disponible para que el color de estado forme franjas uniformes; `ada-time-status__source` elimina `padding-inline` sólo en mobile.</w:t>
      </w:r>
    </w:p>
    <w:p>
      <w:pPr>
        <w:pStyle w:val="ListBullet"/>
      </w:pPr>
      <w:r>
        <w:t>Separación vertical de `.2rem` entre PI, Dispatch y Fecha/hora.</w:t>
      </w:r>
    </w:p>
    <w:p>
      <w:pPr>
        <w:pStyle w:val="ListBullet"/>
      </w:pPr>
      <w:r>
        <w:t>Fecha y hora mantiene fecha + hora en la misma línea y deja de usar `tabular-nums`.</w:t>
      </w:r>
    </w:p>
    <w:p>
      <w:pPr>
        <w:pStyle w:val="ListBullet"/>
      </w:pPr>
      <w:r>
        <w:t>Escala mobile aprobada en el candidato: texto `.75rem`, nube `.85rem`, reloj `.75rem`.</w:t>
      </w:r>
    </w:p>
    <w:p>
      <w:pPr>
        <w:pStyle w:val="Heading2"/>
        <w:keepNext/>
      </w:pPr>
      <w:r>
        <w:t>5.3 Tablet / desktop / monitor / videowall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</w:trPr>
        <w:tc>
          <w:tcPr>
            <w:tcW w:type="dxa" w:w="5227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Rango</w:t>
            </w:r>
          </w:p>
        </w:tc>
        <w:tc>
          <w:tcPr>
            <w:tcW w:type="dxa" w:w="5227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Contrato candidato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1280–1365 · Tablet Pelambres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Presentación existente; texto .5rem, nube .6rem y reloj .5rem.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1366 / 1536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Presentación existente y escala actual .6rem; no rediseñar layout.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1920 / 2560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Presentación existente; reloj/texto sin cambio y nube .7rem (+.1rem óptico).</w:t>
            </w:r>
          </w:p>
        </w:tc>
      </w:tr>
    </w:tbl>
    <w:p>
      <w:pPr>
        <w:pStyle w:val="Heading2"/>
        <w:keepNext/>
      </w:pPr>
      <w:r>
        <w:t>5.4 Postestado y artefacto candidato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</w:trPr>
        <w:tc>
          <w:tcPr>
            <w:tcW w:type="dxa" w:w="5227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227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ada-web-ui-time-status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0.1.15*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ada-generic-application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0.2.17*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ada-web-kpi-inspection-preview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0.1.17*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ada-web-shell-header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0.1.8 — intacto / GREEN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Artefacto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atlanticus-responsive-time-001-mobile-source-alignment-0.1.3.zip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SHA-256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e4754ab15c7efae873f639d175eef0bee86f0796fcc7d97d2cf22dc13d4df4f4</w:t>
            </w:r>
          </w:p>
        </w:tc>
      </w:tr>
    </w:tbl>
    <w:p>
      <w:pPr/>
      <w:r>
        <w:t>* Versiones esperadas después de aplicar el candidato. El repositorio y sus locks son autoridad; confirmar estas versiones con el gate autoritativo antes de fijarlas como baseline GREEN.</w:t>
      </w:r>
    </w:p>
    <w:p>
      <w:pPr>
        <w:pStyle w:val="Heading2"/>
        <w:keepNext/>
      </w:pPr>
      <w:r>
        <w:t>5.5 Gate de cierre requerido</w:t>
      </w:r>
    </w:p>
    <w:p>
      <w:pPr>
        <w:pStyle w:val="ListBullet"/>
      </w:pPr>
      <w:r>
        <w:t>Ejecutar el installer/gate autoritativo con Python 3.14.2 + UV y exigir terminación completa `[9/9]`.</w:t>
      </w:r>
    </w:p>
    <w:p>
      <w:pPr>
        <w:pStyle w:val="ListBullet"/>
      </w:pPr>
      <w:r>
        <w:t>Validar visualmente 350, 480 y 1279 px: franjas PI/Dispatch full-width, alineadas con Fecha/hora, gap .2rem, sin padding lateral residual.</w:t>
      </w:r>
    </w:p>
    <w:p>
      <w:pPr>
        <w:pStyle w:val="ListBullet"/>
      </w:pPr>
      <w:r>
        <w:t>Comprobar 1280+ sólo como regresión: no debe alterarse el comportamiento existente ni Responsive Header.</w:t>
      </w:r>
    </w:p>
    <w:p>
      <w:pPr>
        <w:pStyle w:val="ListBullet"/>
      </w:pPr>
      <w:r>
        <w:t>Sólo después de esas comprobaciones declarar RESPONSiVE-TIME-001 CERRADO / GREEN.</w:t>
      </w:r>
    </w:p>
    <w:p>
      <w:pPr>
        <w:pStyle w:val="Heading1"/>
        <w:keepNext/>
      </w:pPr>
      <w:r>
        <w:t>6. Contratos que no se deben reabrir</w:t>
      </w:r>
    </w:p>
    <w:p>
      <w:pPr>
        <w:pStyle w:val="ListBullet"/>
        <w:spacing w:after="40"/>
      </w:pPr>
      <w:r>
        <w:rPr>
          <w:sz w:val="18"/>
        </w:rPr>
        <w:t>PWA es Atlanticus Web genérico; Session reload y Wake Lock son runtime ADA independientes.</w:t>
      </w:r>
    </w:p>
    <w:p>
      <w:pPr>
        <w:pStyle w:val="ListBullet"/>
        <w:spacing w:after="40"/>
      </w:pPr>
      <w:r>
        <w:rPr>
          <w:sz w:val="18"/>
        </w:rPr>
        <w:t>Page Readiness mide finalización de render inicial, no salud de datos; EMPTY/ERROR/NOT_MAPPED pueden quedar READY.</w:t>
      </w:r>
    </w:p>
    <w:p>
      <w:pPr>
        <w:pStyle w:val="ListBullet"/>
        <w:spacing w:after="40"/>
      </w:pPr>
      <w:r>
        <w:rPr>
          <w:sz w:val="18"/>
        </w:rPr>
        <w:t>Tool Projection sigue siendo la única autoridad de component_key/wrapper_id y bindings de subcomponentes.</w:t>
      </w:r>
    </w:p>
    <w:p>
      <w:pPr>
        <w:pStyle w:val="ListBullet"/>
        <w:spacing w:after="40"/>
      </w:pPr>
      <w:r>
        <w:rPr>
          <w:sz w:val="18"/>
        </w:rPr>
        <w:t>BODY-PROJECTION sigue ausente y no debe reintroducirse.</w:t>
      </w:r>
    </w:p>
    <w:p>
      <w:pPr>
        <w:pStyle w:val="ListBullet"/>
        <w:spacing w:after="40"/>
      </w:pPr>
      <w:r>
        <w:rPr>
          <w:sz w:val="18"/>
        </w:rPr>
        <w:t>Activity consume AccessRuntime actual; no revivir `atlanticus-web-users` ni persistir display_name/email/subject_id crudo.</w:t>
      </w:r>
    </w:p>
    <w:p>
      <w:pPr>
        <w:pStyle w:val="ListBullet"/>
        <w:spacing w:after="40"/>
      </w:pPr>
      <w:r>
        <w:rPr>
          <w:sz w:val="18"/>
        </w:rPr>
        <w:t>Card Display no decide estados ni reconstruye IDs runtime.</w:t>
      </w:r>
    </w:p>
    <w:p>
      <w:pPr>
        <w:pStyle w:val="ListBullet"/>
        <w:spacing w:after="40"/>
      </w:pPr>
      <w:r>
        <w:t>RESPONSIVE-HEADER-001 está cerrado y no debe modificarse. RESPONSiVE-TIME-001 usa la misma matriz; su candidato final sólo puede declararse GREEN después del gate autoritativo y la revisión visual final.</w:t>
      </w:r>
    </w:p>
    <w:p>
      <w:pPr>
        <w:pStyle w:val="Heading1"/>
        <w:keepNext/>
      </w:pPr>
      <w:r>
        <w:t>7. Activity y Card Display — recordatorio de frontera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</w:trPr>
        <w:tc>
          <w:tcPr>
            <w:tcW w:type="dxa" w:w="2592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208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 identidad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actor_key estable; provider_key; user_id sólo si Identity ya lo resolvió.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 eventos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session, heartbeat, visible/hidden, pathname, viewport y active_seconds.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 persistencia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Memory + Cosmos; Cosmos recibe container inyectado y usa ETag. Producción requiere persistencia real compuesta.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Card Display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content / regions / footer / overlay; IDs recibidos desde Tool Projection.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Card Display estados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Sin DisplayCardType, card_type ni heurísticas de strings.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Artefactos finales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tblHeader w:val="true"/>
        </w:trPr>
        <w:tc>
          <w:tcPr>
            <w:tcW w:type="dxa" w:w="2232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Incremento</w:t>
            </w:r>
          </w:p>
        </w:tc>
        <w:tc>
          <w:tcPr>
            <w:tcW w:type="dxa" w:w="468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3888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SHA-256 / nota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ACTIVITY-001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atlanticus-activity-001-web-user-activity-0.1.1.zip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c0c2e162d86e732a0b0b5f101909b9cb07041cdca0f416b7eafc7df724db1cc9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CARD-DISPLAY-001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atlanticus-card-display-001-generic-primitive-0.1.0.zip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d101b142be31f3debfd5ac48705c5866a9bcc406ab18c638405a769dcec6aed5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RESPONSIVE-HEADER-001 final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atlanticus-responsive-header-001-global-indicator-breathing-0.1.12.zip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9399231f06454a400a54fb1cd1dd7bc41beee3a2911ae2fe1195d622a08a4488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Visual gate final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atlanticus-responsive-header-001-visual-gate-0.1.6.zip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701f711cdba1b8959160334db69b4a4ec2e197dbd566465ab7498f6126aeddbb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Page Readiness contract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Atlanticus_ADA_PAGE_READINESS_001_Contrato_v1.0.0.docx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Documento contractual validado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RESPONSIVE-TIME-001 candidate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atlanticus-responsive-time-001-mobile-source-alignment-0.1.3.zip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e4754ab15c7efae873f639d175eef0bee86f0796fcc7d97d2cf22dc13d4df4f4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t>Artefactos responsive anteriores. Los ZIP intermedios de RESPONSiVE-HEADER-001 quedan como historial y no son candidatos de instalación; su artefacto final autoritativo sigue siendo `atlanticus-responsive-header-001-global-indicator-breathing-0.1.12.zip`. Para RESPONSiVE-TIME-001, el candidato actual es `atlanticus-responsive-time-001-mobile-source-alignment-0.1.3.zip`; no tratarlo como baseline GREEN hasta completar el gate final.</w:t>
      </w:r>
    </w:p>
    <w:p>
      <w:pPr>
        <w:pStyle w:val="Heading1"/>
        <w:keepNext/>
      </w:pPr>
      <w:r>
        <w:t>9. Lecciones de installers /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</w:trPr>
        <w:tc>
          <w:tcPr>
            <w:tcW w:type="dxa" w:w="1944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Lección</w:t>
            </w:r>
          </w:p>
        </w:tc>
        <w:tc>
          <w:tcPr>
            <w:tcW w:type="dxa" w:w="8856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Regla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Locks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Normalizar antes del snapshot; comparar contra baseline normalizado, no lock stale.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Resume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Distinguir fresh / installed / stale-test / mixed cuando el incremento puede quedar parcialmente materializado.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Rollback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Trap EXIT y restauración completa de todo archivo/lock tocado.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Tests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Auditar expectativas legacy completas antes de empaquetar; los cambios visuales suelen dejar asserts de valores antiguos.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Payload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 después de limpiar caches; verificar ZIP post-compresión/post-extracción.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Generated files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Excluir sólo caches, *.egg-info y artefactos runtime; nunca código productivo.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Ruff / mirrors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Validar equivalencia AST cuando Ruff reformatee Python; espejos comentados deben seguir semánticamente equivalentes.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Visual gate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Un incremento responsive no se cierra sólo con pytest: exige UI real y revisión en los breakpoints contractuales.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Punto exacto para retomar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tblHeader w:val="true"/>
        </w:trPr>
        <w:tc>
          <w:tcPr>
            <w:tcW w:type="dxa" w:w="864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type="dxa" w:w="2376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756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 / siguiente decisión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RESPONSIVE-TIME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CANDIDATO FINAL. Aplicar 0.1.3, ejecutar gate [9/9] y validar 350/480/1279; sólo entonces marcar GREEN.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Validators de scripts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PENDIENTE. Auditar si `validate_css_tokens.py` y `validate_mirrors.py` están cableados a gates o son utilidades manuales; no borrar antes de validar.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Manager UX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SIGUIENTE frente funcional después del cierre de RESPONSiVE-TIME, salvo decisión distinta.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Body / Zoom</w:t>
            </w:r>
          </w:p>
        </w:tc>
        <w:tc>
          <w:tcPr>
            <w:tcW w:type="dxa" w:w="75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Futuro: Tablet Pelambres 1280–1365 usa zoom always-on y sin control de cierre.</w:t>
            </w:r>
          </w:p>
        </w:tc>
      </w:tr>
      <w:tr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Activity activation / analytics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activar con Memory; requiere persistencia real y composición explícita. Analytics Manager queda aparte.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11. Requerimiento futuro congelado — Body Zoom Tablet Pelambres</w:t>
      </w:r>
    </w:p>
    <w:p>
      <w:pPr>
        <w:spacing w:after="80" w:line="252" w:lineRule="auto"/>
      </w:pPr>
      <w:r>
        <w:rPr>
          <w:sz w:val="18"/>
        </w:rPr>
        <w:t>Cuando se implemente el zoom del Body, el modo Tablet Pelambres (1280–1365) debe usar zoom siempre activo y no debe exponer la opción de cerrarlo. En desktop el zoom puede seguir siendo controlable. Esta regla NO pertenece a RESPONSIVE-TIME ni debe introducirse anticipadamente.</w:t>
      </w:r>
    </w:p>
    <w:p>
      <w:pPr>
        <w:pStyle w:val="Heading1"/>
        <w:keepNext/>
      </w:pPr>
      <w:r>
        <w:t>12. Paquete mínimo para un nuevo chat</w:t>
      </w:r>
    </w:p>
    <w:p>
      <w:pPr>
        <w:pStyle w:val="ListBullet"/>
        <w:spacing w:after="40"/>
      </w:pPr>
      <w:r>
        <w:t>ZIP actual del repositorio `atlanticus` en el estado posterior al último cambio realmente aplicado; el repo manda sobre este documento.</w:t>
      </w:r>
    </w:p>
    <w:p>
      <w:pPr>
        <w:pStyle w:val="ListBullet"/>
        <w:spacing w:after="40"/>
      </w:pPr>
      <w:r>
        <w:t>Este documento `Atlanticus_ADA_Web_Checkpoint_Continuidad_v1.3.0.docx`.</w:t>
      </w:r>
    </w:p>
    <w:p>
      <w:pPr>
        <w:pStyle w:val="ListBullet"/>
        <w:spacing w:after="40"/>
      </w:pPr>
      <w:r>
        <w:rPr>
          <w:sz w:val="18"/>
        </w:rPr>
        <w:t>`Atlanticus_ADA_PAGE_READINESS_001_Contrato_v1.0.0.docx` sólo si el trabajo toca loaders/readiness.</w:t>
      </w:r>
    </w:p>
    <w:p>
      <w:pPr>
        <w:pStyle w:val="ListBullet"/>
        <w:spacing w:after="40"/>
      </w:pPr>
      <w:r>
        <w:rPr>
          <w:sz w:val="18"/>
        </w:rPr>
        <w:t>Legacy ADA/Flotación sólo cuando sea necesario comparar comportamiento, nunca como autoridad.</w:t>
      </w:r>
    </w:p>
    <w:p>
      <w:pPr>
        <w:pStyle w:val="Heading1"/>
        <w:keepNext/>
      </w:pPr>
      <w:r>
        <w:t>13. Mensaje listo para iniciar un chat nuevo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  <w:tblHeader w:val="true"/>
          <w:tblHeader w:val="true"/>
        </w:trPr>
        <w:tc>
          <w:tcPr>
            <w:tcW w:type="dxa" w:w="1080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Mensaje de reanudación</w:t>
            </w:r>
          </w:p>
        </w:tc>
      </w:tr>
      <w:tr>
        <w:tc>
          <w:tcPr>
            <w:tcW w:type="dxa" w:w="10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2F5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Continuemos Atlanticus desde `Atlanticus_ADA_Web_Checkpoint_Continuidad_v1.3.0`. El repositorio adjunto es la autoridad actual. PWA, SESSION, WAKE LOCK, PAGE-READINESS, WEB-CSS-001, ACTIVITY-001, CARD-DISPLAY-001 y RESPONSIVE-HEADER-001 están CERRADOS/GREEN; no los reabras salvo finding real. RESPONSIVE-TIME-001 está en candidato final: mobile &lt;1280 usa PI, Dispatch opcional y Fecha/hora en filas verticales full-width, contenido corrido desde la izquierda, gap .2rem y source sin padding-inline; colores, estados, click oculto y popover se preservan. El postestado esperado es Time Status 0.1.15, aplicación 0.2.17 y preview 0.1.17, pero no lo marques GREEN hasta obtener gate [9/9] y validación visual final en 350/480/1279. La matriz canónica sigue siendo 350/480/1280/1366/1536/1920/2560; Header 0.1.8 permanece congelado. Pendiente adicional: auditar `scripts/validate_css_tokens.py` y `scripts/validate_mirrors.py` con `rg` para determinar si están integrados a gates o quedan como utilidades manuales; no eliminarlos antes de esa auditoría. Más adelante, Body Zoom en Tablet Pelambres será always-on y sin opción de cierre. Mantén Python 3.14.2 + UV, cambios pequeños, tests y espejo comentado, sin aliases legacy ni ampliación de scope.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tblHeader w:val="true"/>
          <w:tblHeader w:val="true"/>
        </w:trPr>
        <w:tc>
          <w:tcPr>
            <w:tcW w:type="dxa" w:w="288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920"/>
            <w:shd w:fill="5059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PWA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foundation Atlanticus Web genérica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workaround ADA por Entra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Wake Lock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root operacional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Page Readiness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readiness automático + loader por Tool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CSS / Tokens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tokens semánticos + Dash loading hygiene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core + Navigation integration; activación productiva pendiente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Card Display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primitive genérico; Body composition pendiente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Responsive Header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matriz Pelambres técnica y visualmente cerrada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 Time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CANDIDATO FINAL; gate autoritativo + visual final pendientes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Body Zoom Tablet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REQUERIMIENTO FUTURO: always-on 1280–1365, sin close</w:t>
            </w:r>
          </w:p>
        </w:tc>
      </w:tr>
      <w:tr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Validators scripts</w:t>
            </w:r>
          </w:p>
        </w:tc>
        <w:tc>
          <w:tcPr>
            <w:tcW w:type="dxa" w:w="5227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PENDIENTE: validar integración/uso de validate_css_tokens.py y validate_mirrors.py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15. Pendiente técnico — validators en `scripts/`</w:t>
      </w:r>
    </w:p>
    <w:p>
      <w:pPr/>
      <w:r>
        <w:t>No eliminar ninguno de los dos archivos hasta completar esta auditoría. Ambos tienen una responsabilidad coherente con los gates de Atlanticus, pero falta confirmar si hoy están integrados al flujo autoritativo o sólo disponibles para ejecución manual.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tblHeader w:val="true"/>
          <w:cantSplit/>
        </w:trPr>
        <w:tc>
          <w:tcPr>
            <w:tcW w:type="dxa" w:w="3485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Archivo</w:t>
            </w:r>
          </w:p>
        </w:tc>
        <w:tc>
          <w:tcPr>
            <w:tcW w:type="dxa" w:w="3485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Responsabilidad observada</w:t>
            </w:r>
          </w:p>
        </w:tc>
        <w:tc>
          <w:tcPr>
            <w:tcW w:type="dxa" w:w="3485"/>
            <w:vAlign w:val="center"/>
            <w:shd w:fill="505961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Pendiente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scripts/validate_css_tokens.py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Valida autoridad de tokens ADA, ausencia de tokens legacy/literales compartidos y equivalencia de mirrors CSS.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Confirmar quién lo invoca y si forma parte del gate ADA actual.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scripts/validate_mirrors.py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Compara árboles Python productivo/commented y exige equivalencia AST, permitiendo sólo package markers no conductuales.</w:t>
            </w:r>
          </w:p>
        </w:tc>
        <w:tc>
          <w:tcPr>
            <w:tcW w:type="dxa" w:w="3485"/>
            <w:vAlign w:val="center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Confirmar si check.py/installers lo invocan o si quedó como utilidad manual.</w:t>
            </w:r>
          </w:p>
        </w:tc>
      </w:tr>
    </w:tbl>
    <w:p>
      <w:pPr/>
      <w:r>
        <w:t>Comando de auditoría sugerido:</w:t>
      </w:r>
    </w:p>
    <w:p>
      <w:pPr/>
      <w:r>
        <w:rPr>
          <w:rFonts w:ascii="Menlo" w:hAnsi="Menlo"/>
          <w:sz w:val="16"/>
        </w:rPr>
        <w:t>rg -n "validate_css_tokens|validate_mirrors" --glob '!scripts/validate_css_tokens.py' --glob '!scripts/validate_mirrors.py' .</w:t>
      </w:r>
    </w:p>
    <w:p>
      <w:pPr/>
      <w:r>
        <w:t>Decisión posterior a la auditoría: si están cableados, documentar su gate y mantenerlos; si son manuales pero siguen aportando valor, decidir explícitamente si se integran o permanecen como herramientas; si resultan redundantes, retirarlos en un incremento de limpieza separado.</w:t>
      </w:r>
    </w:p>
    <w:p>
      <w:pPr>
        <w:spacing w:before="200"/>
        <w:jc w:val="center"/>
      </w:pPr>
      <w:r>
        <w:t>FIN DEL HANDOFF · El repositorio actual manda; este documento conserva decisiones cerradas, candidatos y pendientes explícitos.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0363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5B6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3036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626A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