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Display" w:hAnsi="Aptos Display"/>
          <w:b/>
          <w:color w:val="173A5E"/>
          <w:sz w:val="58"/>
        </w:rPr>
        <w:t>ATLANTICUS</w:t>
      </w:r>
    </w:p>
    <w:p>
      <w:pPr>
        <w:jc w:val="center"/>
      </w:pPr>
      <w:r>
        <w:rPr>
          <w:rFonts w:ascii="Aptos Display" w:hAnsi="Aptos Display"/>
          <w:b/>
          <w:color w:val="2F5D87"/>
          <w:sz w:val="40"/>
        </w:rPr>
        <w:t>ADA Web Structural Migration &amp; Qualification Plan</w:t>
      </w:r>
    </w:p>
    <w:p>
      <w:pPr>
        <w:spacing w:before="160"/>
        <w:jc w:val="center"/>
      </w:pPr>
      <w:r>
        <w:rPr>
          <w:color w:val="5B6570"/>
          <w:sz w:val="21"/>
        </w:rPr>
        <w:t>Capability-first consolidation before continuing KPI Configuration and remaining Managers</w:t>
      </w:r>
    </w:p>
    <w:p/>
    <w:tbl>
      <w:tblPr>
        <w:tblW w:type="auto" w:w="0"/>
        <w:jc w:val="center"/>
        <w:tblLook w:firstColumn="1" w:firstRow="1" w:lastColumn="0" w:lastRow="0" w:noHBand="0" w:noVBand="1" w:val="04A0"/>
      </w:tblPr>
      <w:tblGrid>
        <w:gridCol w:w="10166"/>
      </w:tblGrid>
      <w:tr>
        <w:trPr>
          <w:tblHeader w:val="true"/>
          <w:cantSplit/>
        </w:trPr>
        <w:tc>
          <w:tcPr>
            <w:tcW w:type="dxa" w:w="10166"/>
            <w:shd w:fill="EEF4F8"/>
            <w:tcMar>
              <w:top w:w="120" w:type="dxa"/>
              <w:start w:w="150" w:type="dxa"/>
              <w:bottom w:w="120" w:type="dxa"/>
              <w:end w:w="150" w:type="dxa"/>
            </w:tcMar>
          </w:tcPr>
          <w:p>
            <w:r>
              <w:rPr>
                <w:b/>
                <w:color w:val="173A5E"/>
                <w:sz w:val="20"/>
              </w:rPr>
              <w:t>Document status</w:t>
            </w:r>
          </w:p>
          <w:p>
            <w:pPr>
              <w:spacing w:after="0"/>
            </w:pPr>
            <w:r>
              <w:rPr>
                <w:sz w:val="18"/>
              </w:rPr>
              <w:t>APPROVED DESIGN BASELINE FOR MIGRATION. This document freezes the migration intent, sequencing, ownership rules, and qualification gates. It does not authorize broad functional redesign during the move.</w:t>
            </w:r>
          </w:p>
        </w:tc>
      </w:tr>
    </w:tbl>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EAF0F5"/>
            <w:tcMar>
              <w:top w:w="90" w:type="dxa"/>
              <w:start w:w="100" w:type="dxa"/>
              <w:bottom w:w="90" w:type="dxa"/>
              <w:end w:w="100" w:type="dxa"/>
            </w:tcMar>
          </w:tcPr>
          <w:p>
            <w:r>
              <w:rPr>
                <w:b/>
                <w:color w:val="173A5E"/>
                <w:sz w:val="17"/>
              </w:rPr>
              <w:t>Project</w:t>
            </w:r>
          </w:p>
        </w:tc>
        <w:tc>
          <w:tcPr>
            <w:tcW w:type="dxa" w:w="5083"/>
            <w:tcMar>
              <w:top w:w="90" w:type="dxa"/>
              <w:start w:w="100" w:type="dxa"/>
              <w:bottom w:w="90" w:type="dxa"/>
              <w:end w:w="100" w:type="dxa"/>
            </w:tcMar>
          </w:tcPr>
          <w:p>
            <w:r>
              <w:rPr>
                <w:sz w:val="17"/>
              </w:rPr>
              <w:t>Ecosystem Atlanticus / ADA Web</w:t>
            </w:r>
          </w:p>
        </w:tc>
      </w:tr>
      <w:tr>
        <w:trPr>
          <w:cantSplit/>
        </w:trPr>
        <w:tc>
          <w:tcPr>
            <w:tcW w:type="dxa" w:w="5083"/>
            <w:shd w:fill="EAF0F5"/>
            <w:tcMar>
              <w:top w:w="90" w:type="dxa"/>
              <w:start w:w="100" w:type="dxa"/>
              <w:bottom w:w="90" w:type="dxa"/>
              <w:end w:w="100" w:type="dxa"/>
            </w:tcMar>
          </w:tcPr>
          <w:p>
            <w:r>
              <w:rPr>
                <w:b/>
                <w:color w:val="173A5E"/>
                <w:sz w:val="17"/>
              </w:rPr>
              <w:t>Baseline</w:t>
            </w:r>
          </w:p>
        </w:tc>
        <w:tc>
          <w:tcPr>
            <w:tcW w:type="dxa" w:w="5083"/>
            <w:tcMar>
              <w:top w:w="90" w:type="dxa"/>
              <w:start w:w="100" w:type="dxa"/>
              <w:bottom w:w="90" w:type="dxa"/>
              <w:end w:w="100" w:type="dxa"/>
            </w:tcMar>
          </w:tcPr>
          <w:p>
            <w:r>
              <w:rPr>
                <w:sz w:val="17"/>
              </w:rPr>
              <w:t>Tools Configuration R8.4.5-r2 — CLOSED / GREEN</w:t>
            </w:r>
          </w:p>
        </w:tc>
      </w:tr>
      <w:tr>
        <w:trPr>
          <w:cantSplit/>
        </w:trPr>
        <w:tc>
          <w:tcPr>
            <w:tcW w:type="dxa" w:w="5083"/>
            <w:shd w:fill="EAF0F5"/>
            <w:tcMar>
              <w:top w:w="90" w:type="dxa"/>
              <w:start w:w="100" w:type="dxa"/>
              <w:bottom w:w="90" w:type="dxa"/>
              <w:end w:w="100" w:type="dxa"/>
            </w:tcMar>
          </w:tcPr>
          <w:p>
            <w:r>
              <w:rPr>
                <w:b/>
                <w:color w:val="173A5E"/>
                <w:sz w:val="17"/>
              </w:rPr>
              <w:t>Primary objective</w:t>
            </w:r>
          </w:p>
        </w:tc>
        <w:tc>
          <w:tcPr>
            <w:tcW w:type="dxa" w:w="5083"/>
            <w:tcMar>
              <w:top w:w="90" w:type="dxa"/>
              <w:start w:w="100" w:type="dxa"/>
              <w:bottom w:w="90" w:type="dxa"/>
              <w:end w:w="100" w:type="dxa"/>
            </w:tcMar>
          </w:tcPr>
          <w:p>
            <w:r>
              <w:rPr>
                <w:sz w:val="17"/>
              </w:rPr>
              <w:t>Reduce micro-packaging, restore domain-first ownership, preserve contracts and behavior</w:t>
            </w:r>
          </w:p>
        </w:tc>
      </w:tr>
      <w:tr>
        <w:trPr>
          <w:cantSplit/>
        </w:trPr>
        <w:tc>
          <w:tcPr>
            <w:tcW w:type="dxa" w:w="5083"/>
            <w:shd w:fill="EAF0F5"/>
            <w:tcMar>
              <w:top w:w="90" w:type="dxa"/>
              <w:start w:w="100" w:type="dxa"/>
              <w:bottom w:w="90" w:type="dxa"/>
              <w:end w:w="100" w:type="dxa"/>
            </w:tcMar>
          </w:tcPr>
          <w:p>
            <w:r>
              <w:rPr>
                <w:b/>
                <w:color w:val="173A5E"/>
                <w:sz w:val="17"/>
              </w:rPr>
              <w:t>Implementation runtime</w:t>
            </w:r>
          </w:p>
        </w:tc>
        <w:tc>
          <w:tcPr>
            <w:tcW w:type="dxa" w:w="5083"/>
            <w:tcMar>
              <w:top w:w="90" w:type="dxa"/>
              <w:start w:w="100" w:type="dxa"/>
              <w:bottom w:w="90" w:type="dxa"/>
              <w:end w:w="100" w:type="dxa"/>
            </w:tcMar>
          </w:tcPr>
          <w:p>
            <w:r>
              <w:rPr>
                <w:sz w:val="17"/>
              </w:rPr>
              <w:t>Python 3.14.2 + UV</w:t>
            </w:r>
          </w:p>
        </w:tc>
      </w:tr>
      <w:tr>
        <w:trPr>
          <w:cantSplit/>
        </w:trPr>
        <w:tc>
          <w:tcPr>
            <w:tcW w:type="dxa" w:w="5083"/>
            <w:shd w:fill="EAF0F5"/>
            <w:tcMar>
              <w:top w:w="90" w:type="dxa"/>
              <w:start w:w="100" w:type="dxa"/>
              <w:bottom w:w="90" w:type="dxa"/>
              <w:end w:w="100" w:type="dxa"/>
            </w:tcMar>
          </w:tcPr>
          <w:p>
            <w:r>
              <w:rPr>
                <w:b/>
                <w:color w:val="173A5E"/>
                <w:sz w:val="17"/>
              </w:rPr>
              <w:t>Date</w:t>
            </w:r>
          </w:p>
        </w:tc>
        <w:tc>
          <w:tcPr>
            <w:tcW w:type="dxa" w:w="5083"/>
            <w:tcMar>
              <w:top w:w="90" w:type="dxa"/>
              <w:start w:w="100" w:type="dxa"/>
              <w:bottom w:w="90" w:type="dxa"/>
              <w:end w:w="100" w:type="dxa"/>
            </w:tcMar>
          </w:tcPr>
          <w:p>
            <w:r>
              <w:rPr>
                <w:sz w:val="17"/>
              </w:rPr>
              <w:t>2026-09-09</w:t>
            </w:r>
          </w:p>
        </w:tc>
      </w:tr>
    </w:tbl>
    <w:p>
      <w:r>
        <w:br w:type="page"/>
      </w:r>
    </w:p>
    <w:p>
      <w:pPr>
        <w:pStyle w:val="Heading1"/>
      </w:pPr>
      <w:r>
        <w:t>1. Purpose and migration boundary</w:t>
      </w:r>
    </w:p>
    <w:p>
      <w:r>
        <w:t>This migration is a structural consolidation of ADA Web. Its purpose is to make the repository cleaner, easier to navigate, cheaper to maintain, and more scalable before continuing KPI Configuration and the remaining administrative Managers.</w:t>
      </w:r>
    </w:p>
    <w:p>
      <w:r>
        <w:t>The migration must preserve every contract and behavior already qualified as GREEN. It is not a functional rewrite of Tools, Components, Content State, Inspection, Operational State, Time Status, or other existing capabilities.</w:t>
      </w:r>
    </w:p>
    <w:tbl>
      <w:tblPr>
        <w:tblW w:type="auto" w:w="0"/>
        <w:jc w:val="center"/>
        <w:tblLook w:firstColumn="1" w:firstRow="1" w:lastColumn="0" w:lastRow="0" w:noHBand="0" w:noVBand="1" w:val="04A0"/>
      </w:tblPr>
      <w:tblGrid>
        <w:gridCol w:w="10166"/>
      </w:tblGrid>
      <w:tr>
        <w:trPr>
          <w:tblHeader w:val="true"/>
          <w:cantSplit/>
        </w:trPr>
        <w:tc>
          <w:tcPr>
            <w:tcW w:type="dxa" w:w="10166"/>
            <w:shd w:fill="FFF7E8"/>
            <w:tcMar>
              <w:top w:w="120" w:type="dxa"/>
              <w:start w:w="150" w:type="dxa"/>
              <w:bottom w:w="120" w:type="dxa"/>
              <w:end w:w="150" w:type="dxa"/>
            </w:tcMar>
          </w:tcPr>
          <w:p>
            <w:r>
              <w:rPr>
                <w:b/>
                <w:color w:val="B88A35"/>
                <w:sz w:val="20"/>
              </w:rPr>
              <w:t>Non-negotiable migration principle</w:t>
            </w:r>
          </w:p>
          <w:p>
            <w:pPr>
              <w:spacing w:after="0"/>
            </w:pPr>
            <w:r>
              <w:rPr>
                <w:sz w:val="18"/>
              </w:rPr>
              <w:t>Move ownership and package boundaries without changing the semantics of already validated contracts. Functional changes are isolated and explicitly agreed; the only planned functional extension in this migration is the Branding variant capability described in Section 8.</w:t>
            </w:r>
          </w:p>
        </w:tc>
      </w:tr>
    </w:tbl>
    <w:p/>
    <w:p>
      <w:pPr>
        <w:pStyle w:val="Heading2"/>
      </w:pPr>
      <w:r>
        <w:t>1.1 Why the migration is required now</w:t>
      </w:r>
    </w:p>
    <w:p>
      <w:pPr>
        <w:pStyle w:val="ListBullet"/>
        <w:spacing w:after="40"/>
      </w:pPr>
      <w:r>
        <w:t>ADA Web currently mixes business/domain capabilities with technical implementation fragments at the same directory level.</w:t>
      </w:r>
    </w:p>
    <w:p>
      <w:pPr>
        <w:pStyle w:val="ListBullet"/>
        <w:spacing w:after="40"/>
      </w:pPr>
      <w:r>
        <w:t>Several responsibilities became separate UV projects and wheels even when they have no meaningful independent lifecycle.</w:t>
      </w:r>
    </w:p>
    <w:p>
      <w:pPr>
        <w:pStyle w:val="ListBullet"/>
        <w:spacing w:after="40"/>
      </w:pPr>
      <w:r>
        <w:t>The current shape creates version drift, repeated pyproject/lock/test/mirror maintenance, and longer dependency chains.</w:t>
      </w:r>
    </w:p>
    <w:p>
      <w:pPr>
        <w:pStyle w:val="ListBullet"/>
        <w:spacing w:after="40"/>
      </w:pPr>
      <w:r>
        <w:t>Continuing KPI Manager on top of the current shape would replicate the same fragmentation into future Managers.</w:t>
      </w:r>
    </w:p>
    <w:p>
      <w:pPr>
        <w:pStyle w:val="ListBullet"/>
        <w:spacing w:after="40"/>
      </w:pPr>
      <w:r>
        <w:t>The canonical Atlanticus Users and Navigation capabilities already demonstrate a cleaner pattern: domain capability first, configuration lifecycle and Web editor inside the same configuration package where justified.</w:t>
      </w:r>
    </w:p>
    <w:p>
      <w:pPr>
        <w:pStyle w:val="Heading2"/>
      </w:pPr>
      <w:r>
        <w:t>1.2 Frozen baseline</w:t>
      </w:r>
    </w:p>
    <w:p>
      <w:r>
        <w:t>Tools Configuration is the migration baseline. R8.4.5-r2 is CLOSED / GREEN, including stable identities, Process scope inheritance/override, Integrated Operations scope rules, partial inspection, serialized contract, tests, mirrors, CSS tokens, and repository gates.</w:t>
      </w:r>
    </w:p>
    <w:p>
      <w:r>
        <w:t>All migration increments must preserve this behavior before the next increment begins.</w:t>
      </w:r>
    </w:p>
    <w:p>
      <w:pPr>
        <w:pStyle w:val="Heading1"/>
      </w:pPr>
      <w:r>
        <w:t>2. Architectural rule to freeze</w:t>
      </w:r>
    </w:p>
    <w:tbl>
      <w:tblPr>
        <w:tblW w:type="auto" w:w="0"/>
        <w:jc w:val="center"/>
        <w:tblLook w:firstColumn="1" w:firstRow="1" w:lastColumn="0" w:lastRow="0" w:noHBand="0" w:noVBand="1" w:val="04A0"/>
      </w:tblPr>
      <w:tblGrid>
        <w:gridCol w:w="10166"/>
      </w:tblGrid>
      <w:tr>
        <w:trPr>
          <w:tblHeader w:val="true"/>
          <w:cantSplit/>
        </w:trPr>
        <w:tc>
          <w:tcPr>
            <w:tcW w:type="dxa" w:w="10166"/>
            <w:shd w:fill="EAF0F5"/>
            <w:tcMar>
              <w:top w:w="120" w:type="dxa"/>
              <w:start w:w="150" w:type="dxa"/>
              <w:bottom w:w="120" w:type="dxa"/>
              <w:end w:w="150" w:type="dxa"/>
            </w:tcMar>
          </w:tcPr>
          <w:p>
            <w:r>
              <w:rPr>
                <w:b/>
                <w:color w:val="173A5E"/>
                <w:sz w:val="20"/>
              </w:rPr>
              <w:t>Atlanticus packaging rule</w:t>
            </w:r>
          </w:p>
          <w:p>
            <w:pPr>
              <w:spacing w:after="0"/>
            </w:pPr>
            <w:r>
              <w:rPr>
                <w:sz w:val="18"/>
              </w:rPr>
              <w:t>The repository is organized first by capability/domain. Internal folders express responsibilities. A new wheel exists only when a real dependency, reuse, technology, or independent-versioning boundary justifies it.</w:t>
            </w:r>
          </w:p>
        </w:tc>
      </w:tr>
    </w:tbl>
    <w:p/>
    <w:p>
      <w:pPr>
        <w:pStyle w:val="CodeBlock"/>
        <w:keepLines/>
        <w:shd w:fill="F5F7F9"/>
      </w:pPr>
      <w:r>
        <w:rPr>
          <w:rFonts w:ascii="Cascadia Mono" w:hAnsi="Cascadia Mono"/>
          <w:sz w:val="17"/>
        </w:rPr>
        <w:t>domain != wheel</w:t>
        <w:br/>
        <w:t>folder != wheel</w:t>
        <w:br/>
        <w:t>module != wheel</w:t>
        <w:br/>
        <w:br/>
        <w:t>Create a new wheel only when at least one of these is true:</w:t>
        <w:br/>
        <w:t>- independently consumable contract</w:t>
        <w:br/>
        <w:t>- dependency isolation is materially required</w:t>
        <w:br/>
        <w:t>- independent reuse exists</w:t>
        <w:br/>
        <w:t>- independent release/version lifecycle exists</w:t>
        <w:br/>
        <w:t>- technology/infrastructure boundary must be enforced</w:t>
        <w:br/>
        <w:t>- dependency direction must be protected</w:t>
      </w:r>
    </w:p>
    <w:p>
      <w:pPr>
        <w:pStyle w:val="Heading2"/>
      </w:pPr>
      <w:r>
        <w:t>2.1 What this rule prevents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shd w:fill="173A5E"/>
            <w:vAlign w:val="center"/>
            <w:tcMar>
              <w:top w:w="80" w:type="dxa"/>
              <w:start w:w="90" w:type="dxa"/>
              <w:bottom w:w="80" w:type="dxa"/>
              <w:end w:w="90" w:type="dxa"/>
            </w:tcMar>
          </w:tcPr>
          <w:p>
            <w:r>
              <w:rPr>
                <w:b/>
                <w:color w:val="FFFFFF"/>
                <w:sz w:val="17"/>
              </w:rPr>
              <w:t>Anti-pattern</w:t>
            </w:r>
          </w:p>
        </w:tc>
        <w:tc>
          <w:tcPr>
            <w:tcW w:type="dxa" w:w="3888"/>
            <w:shd w:fill="173A5E"/>
            <w:vAlign w:val="center"/>
            <w:tcMar>
              <w:top w:w="80" w:type="dxa"/>
              <w:start w:w="90" w:type="dxa"/>
              <w:bottom w:w="80" w:type="dxa"/>
              <w:end w:w="90" w:type="dxa"/>
            </w:tcMar>
          </w:tcPr>
          <w:p>
            <w:r>
              <w:rPr>
                <w:b/>
                <w:color w:val="FFFFFF"/>
                <w:sz w:val="17"/>
              </w:rPr>
              <w:t>Result</w:t>
            </w:r>
          </w:p>
        </w:tc>
        <w:tc>
          <w:tcPr>
            <w:tcW w:type="dxa" w:w="3456"/>
            <w:shd w:fill="173A5E"/>
            <w:vAlign w:val="center"/>
            <w:tcMar>
              <w:top w:w="80" w:type="dxa"/>
              <w:start w:w="90" w:type="dxa"/>
              <w:bottom w:w="80" w:type="dxa"/>
              <w:end w:w="90" w:type="dxa"/>
            </w:tcMar>
          </w:tcPr>
          <w:p>
            <w:r>
              <w:rPr>
                <w:b/>
                <w:color w:val="FFFFFF"/>
                <w:sz w:val="17"/>
              </w:rPr>
              <w:t>Migration response</w:t>
            </w:r>
          </w:p>
        </w:tc>
      </w:tr>
      <w:tr>
        <w:trPr>
          <w:cantSplit/>
        </w:trPr>
        <w:tc>
          <w:tcPr>
            <w:tcW w:type="dxa" w:w="2880"/>
            <w:vAlign w:val="top"/>
            <w:tcMar>
              <w:top w:w="70" w:type="dxa"/>
              <w:start w:w="90" w:type="dxa"/>
              <w:bottom w:w="70" w:type="dxa"/>
              <w:end w:w="90" w:type="dxa"/>
            </w:tcMar>
          </w:tcPr>
          <w:p>
            <w:pPr>
              <w:spacing w:after="0"/>
            </w:pPr>
            <w:r>
              <w:rPr>
                <w:sz w:val="16"/>
              </w:rPr>
              <w:t>One responsibility = one wheel</w:t>
            </w:r>
          </w:p>
        </w:tc>
        <w:tc>
          <w:tcPr>
            <w:tcW w:type="dxa" w:w="3888"/>
            <w:vAlign w:val="top"/>
            <w:tcMar>
              <w:top w:w="70" w:type="dxa"/>
              <w:start w:w="90" w:type="dxa"/>
              <w:bottom w:w="70" w:type="dxa"/>
              <w:end w:w="90" w:type="dxa"/>
            </w:tcMar>
          </w:tcPr>
          <w:p>
            <w:pPr>
              <w:spacing w:after="0"/>
            </w:pPr>
            <w:r>
              <w:rPr>
                <w:sz w:val="16"/>
              </w:rPr>
              <w:t>Micro-packaging, lock/version drift, noisy dependency graph</w:t>
            </w:r>
          </w:p>
        </w:tc>
        <w:tc>
          <w:tcPr>
            <w:tcW w:type="dxa" w:w="3456"/>
            <w:vAlign w:val="top"/>
            <w:tcMar>
              <w:top w:w="70" w:type="dxa"/>
              <w:start w:w="90" w:type="dxa"/>
              <w:bottom w:w="70" w:type="dxa"/>
              <w:end w:w="90" w:type="dxa"/>
            </w:tcMar>
          </w:tcPr>
          <w:p>
            <w:pPr>
              <w:spacing w:after="0"/>
            </w:pPr>
            <w:r>
              <w:rPr>
                <w:sz w:val="16"/>
              </w:rPr>
              <w:t>Consolidate as internal module/subpackage</w:t>
            </w:r>
          </w:p>
        </w:tc>
      </w:tr>
      <w:tr>
        <w:trPr>
          <w:cantSplit/>
        </w:trPr>
        <w:tc>
          <w:tcPr>
            <w:tcW w:type="dxa" w:w="2880"/>
            <w:shd w:fill="F5F7F9"/>
            <w:vAlign w:val="top"/>
            <w:tcMar>
              <w:top w:w="70" w:type="dxa"/>
              <w:start w:w="90" w:type="dxa"/>
              <w:bottom w:w="70" w:type="dxa"/>
              <w:end w:w="90" w:type="dxa"/>
            </w:tcMar>
          </w:tcPr>
          <w:p>
            <w:pPr>
              <w:spacing w:after="0"/>
            </w:pPr>
            <w:r>
              <w:rPr>
                <w:sz w:val="16"/>
              </w:rPr>
              <w:t>Generic configuration bucket</w:t>
            </w:r>
          </w:p>
        </w:tc>
        <w:tc>
          <w:tcPr>
            <w:tcW w:type="dxa" w:w="3888"/>
            <w:shd w:fill="F5F7F9"/>
            <w:vAlign w:val="top"/>
            <w:tcMar>
              <w:top w:w="70" w:type="dxa"/>
              <w:start w:w="90" w:type="dxa"/>
              <w:bottom w:w="70" w:type="dxa"/>
              <w:end w:w="90" w:type="dxa"/>
            </w:tcMar>
          </w:tcPr>
          <w:p>
            <w:pPr>
              <w:spacing w:after="0"/>
            </w:pPr>
            <w:r>
              <w:rPr>
                <w:sz w:val="16"/>
              </w:rPr>
              <w:t>Domain ownership becomes unclear</w:t>
            </w:r>
          </w:p>
        </w:tc>
        <w:tc>
          <w:tcPr>
            <w:tcW w:type="dxa" w:w="3456"/>
            <w:shd w:fill="F5F7F9"/>
            <w:vAlign w:val="top"/>
            <w:tcMar>
              <w:top w:w="70" w:type="dxa"/>
              <w:start w:w="90" w:type="dxa"/>
              <w:bottom w:w="70" w:type="dxa"/>
              <w:end w:w="90" w:type="dxa"/>
            </w:tcMar>
          </w:tcPr>
          <w:p>
            <w:pPr>
              <w:spacing w:after="0"/>
            </w:pPr>
            <w:r>
              <w:rPr>
                <w:sz w:val="16"/>
              </w:rPr>
              <w:t>Move configuration under owning capability</w:t>
            </w:r>
          </w:p>
        </w:tc>
      </w:tr>
      <w:tr>
        <w:trPr>
          <w:cantSplit/>
        </w:trPr>
        <w:tc>
          <w:tcPr>
            <w:tcW w:type="dxa" w:w="2880"/>
            <w:vAlign w:val="top"/>
            <w:tcMar>
              <w:top w:w="70" w:type="dxa"/>
              <w:start w:w="90" w:type="dxa"/>
              <w:bottom w:w="70" w:type="dxa"/>
              <w:end w:w="90" w:type="dxa"/>
            </w:tcMar>
          </w:tcPr>
          <w:p>
            <w:pPr>
              <w:spacing w:after="0"/>
            </w:pPr>
            <w:r>
              <w:rPr>
                <w:sz w:val="16"/>
              </w:rPr>
              <w:t>Generic UI bucket for domain-specific UI</w:t>
            </w:r>
          </w:p>
        </w:tc>
        <w:tc>
          <w:tcPr>
            <w:tcW w:type="dxa" w:w="3888"/>
            <w:vAlign w:val="top"/>
            <w:tcMar>
              <w:top w:w="70" w:type="dxa"/>
              <w:start w:w="90" w:type="dxa"/>
              <w:bottom w:w="70" w:type="dxa"/>
              <w:end w:w="90" w:type="dxa"/>
            </w:tcMar>
          </w:tcPr>
          <w:p>
            <w:pPr>
              <w:spacing w:after="0"/>
            </w:pPr>
            <w:r>
              <w:rPr>
                <w:sz w:val="16"/>
              </w:rPr>
              <w:t>Presentation detached from its domain</w:t>
            </w:r>
          </w:p>
        </w:tc>
        <w:tc>
          <w:tcPr>
            <w:tcW w:type="dxa" w:w="3456"/>
            <w:vAlign w:val="top"/>
            <w:tcMar>
              <w:top w:w="70" w:type="dxa"/>
              <w:start w:w="90" w:type="dxa"/>
              <w:bottom w:w="70" w:type="dxa"/>
              <w:end w:w="90" w:type="dxa"/>
            </w:tcMar>
          </w:tcPr>
          <w:p>
            <w:pPr>
              <w:spacing w:after="0"/>
            </w:pPr>
            <w:r>
              <w:rPr>
                <w:sz w:val="16"/>
              </w:rPr>
              <w:t>Return UI to physical capability</w:t>
            </w:r>
          </w:p>
        </w:tc>
      </w:tr>
      <w:tr>
        <w:trPr>
          <w:cantSplit/>
        </w:trPr>
        <w:tc>
          <w:tcPr>
            <w:tcW w:type="dxa" w:w="2880"/>
            <w:shd w:fill="F5F7F9"/>
            <w:vAlign w:val="top"/>
            <w:tcMar>
              <w:top w:w="70" w:type="dxa"/>
              <w:start w:w="90" w:type="dxa"/>
              <w:bottom w:w="70" w:type="dxa"/>
              <w:end w:w="90" w:type="dxa"/>
            </w:tcMar>
          </w:tcPr>
          <w:p>
            <w:pPr>
              <w:spacing w:after="0"/>
            </w:pPr>
            <w:r>
              <w:rPr>
                <w:sz w:val="16"/>
              </w:rPr>
              <w:t>Host Manager owns feature logic</w:t>
            </w:r>
          </w:p>
        </w:tc>
        <w:tc>
          <w:tcPr>
            <w:tcW w:type="dxa" w:w="3888"/>
            <w:shd w:fill="F5F7F9"/>
            <w:vAlign w:val="top"/>
            <w:tcMar>
              <w:top w:w="70" w:type="dxa"/>
              <w:start w:w="90" w:type="dxa"/>
              <w:bottom w:w="70" w:type="dxa"/>
              <w:end w:w="90" w:type="dxa"/>
            </w:tcMar>
          </w:tcPr>
          <w:p>
            <w:pPr>
              <w:spacing w:after="0"/>
            </w:pPr>
            <w:r>
              <w:rPr>
                <w:sz w:val="16"/>
              </w:rPr>
              <w:t>Manager becomes a monolith</w:t>
            </w:r>
          </w:p>
        </w:tc>
        <w:tc>
          <w:tcPr>
            <w:tcW w:type="dxa" w:w="3456"/>
            <w:shd w:fill="F5F7F9"/>
            <w:vAlign w:val="top"/>
            <w:tcMar>
              <w:top w:w="70" w:type="dxa"/>
              <w:start w:w="90" w:type="dxa"/>
              <w:bottom w:w="70" w:type="dxa"/>
              <w:end w:w="90" w:type="dxa"/>
            </w:tcMar>
          </w:tcPr>
          <w:p>
            <w:pPr>
              <w:spacing w:after="0"/>
            </w:pPr>
            <w:r>
              <w:rPr>
                <w:sz w:val="16"/>
              </w:rPr>
              <w:t>Feature owns its configuration Web module; host only composes</w:t>
            </w:r>
          </w:p>
        </w:tc>
      </w:tr>
    </w:tbl>
    <w:p/>
    <w:p>
      <w:pPr>
        <w:pStyle w:val="Heading1"/>
      </w:pPr>
      <w:r>
        <w:t>3. Target top-level ADA Web shape</w:t>
      </w:r>
    </w:p>
    <w:p>
      <w:pPr>
        <w:pStyle w:val="CodeBlock"/>
        <w:keepLines/>
        <w:shd w:fill="F5F7F9"/>
      </w:pPr>
      <w:r>
        <w:rPr>
          <w:rFonts w:ascii="Cascadia Mono" w:hAnsi="Cascadia Mono"/>
          <w:sz w:val="17"/>
        </w:rPr>
        <w:t>scopes/ada/web/</w:t>
        <w:br/>
        <w:t>├── application/</w:t>
        <w:br/>
        <w:t>├── alarms/</w:t>
        <w:br/>
        <w:t>├── branding/</w:t>
        <w:br/>
        <w:t>├── components/</w:t>
        <w:br/>
        <w:t>├── content-state/</w:t>
        <w:br/>
        <w:t>├── inspection/</w:t>
        <w:br/>
        <w:t>├── kpis/</w:t>
        <w:br/>
        <w:t>├── operational/</w:t>
        <w:br/>
        <w:t>├── shell/</w:t>
        <w:br/>
        <w:t>├── time-status/</w:t>
        <w:br/>
        <w:t>├── tools/</w:t>
        <w:br/>
        <w:t>└── ui/</w:t>
        <w:br/>
        <w:t xml:space="preserve">    └── only truly cross-domain visual primitives</w:t>
      </w:r>
    </w:p>
    <w:p>
      <w:r>
        <w:t>The current generic `scopes/ada/web/configuration/` directory is expected to disappear as a broad ownership bucket. Configuration belongs to the domain it configures.</w:t>
      </w:r>
    </w:p>
    <w:p>
      <w:pPr>
        <w:pStyle w:val="Heading2"/>
      </w:pPr>
      <w:r>
        <w:t>3.1 Ownership model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16"/>
            <w:shd w:fill="173A5E"/>
            <w:vAlign w:val="center"/>
            <w:tcMar>
              <w:top w:w="80" w:type="dxa"/>
              <w:start w:w="90" w:type="dxa"/>
              <w:bottom w:w="80" w:type="dxa"/>
              <w:end w:w="90" w:type="dxa"/>
            </w:tcMar>
          </w:tcPr>
          <w:p>
            <w:r>
              <w:rPr>
                <w:b/>
                <w:color w:val="FFFFFF"/>
                <w:sz w:val="17"/>
              </w:rPr>
              <w:t>Capability</w:t>
            </w:r>
          </w:p>
        </w:tc>
        <w:tc>
          <w:tcPr>
            <w:tcW w:type="dxa" w:w="4464"/>
            <w:shd w:fill="173A5E"/>
            <w:vAlign w:val="center"/>
            <w:tcMar>
              <w:top w:w="80" w:type="dxa"/>
              <w:start w:w="90" w:type="dxa"/>
              <w:bottom w:w="80" w:type="dxa"/>
              <w:end w:w="90" w:type="dxa"/>
            </w:tcMar>
          </w:tcPr>
          <w:p>
            <w:r>
              <w:rPr>
                <w:b/>
                <w:color w:val="FFFFFF"/>
                <w:sz w:val="17"/>
              </w:rPr>
              <w:t>Owns</w:t>
            </w:r>
          </w:p>
        </w:tc>
        <w:tc>
          <w:tcPr>
            <w:tcW w:type="dxa" w:w="3744"/>
            <w:shd w:fill="173A5E"/>
            <w:vAlign w:val="center"/>
            <w:tcMar>
              <w:top w:w="80" w:type="dxa"/>
              <w:start w:w="90" w:type="dxa"/>
              <w:bottom w:w="80" w:type="dxa"/>
              <w:end w:w="90" w:type="dxa"/>
            </w:tcMar>
          </w:tcPr>
          <w:p>
            <w:r>
              <w:rPr>
                <w:b/>
                <w:color w:val="FFFFFF"/>
                <w:sz w:val="17"/>
              </w:rPr>
              <w:t>Does not own</w:t>
            </w:r>
          </w:p>
        </w:tc>
      </w:tr>
      <w:tr>
        <w:trPr>
          <w:cantSplit/>
        </w:trPr>
        <w:tc>
          <w:tcPr>
            <w:tcW w:type="dxa" w:w="2016"/>
            <w:vAlign w:val="top"/>
            <w:tcMar>
              <w:top w:w="70" w:type="dxa"/>
              <w:start w:w="90" w:type="dxa"/>
              <w:bottom w:w="70" w:type="dxa"/>
              <w:end w:w="90" w:type="dxa"/>
            </w:tcMar>
          </w:tcPr>
          <w:p>
            <w:pPr>
              <w:spacing w:after="0"/>
            </w:pPr>
            <w:r>
              <w:rPr>
                <w:sz w:val="16"/>
              </w:rPr>
              <w:t>tools</w:t>
            </w:r>
          </w:p>
        </w:tc>
        <w:tc>
          <w:tcPr>
            <w:tcW w:type="dxa" w:w="4464"/>
            <w:vAlign w:val="top"/>
            <w:tcMar>
              <w:top w:w="70" w:type="dxa"/>
              <w:start w:w="90" w:type="dxa"/>
              <w:bottom w:w="70" w:type="dxa"/>
              <w:end w:w="90" w:type="dxa"/>
            </w:tcMar>
          </w:tcPr>
          <w:p>
            <w:pPr>
              <w:spacing w:after="0"/>
            </w:pPr>
            <w:r>
              <w:rPr>
                <w:sz w:val="16"/>
              </w:rPr>
              <w:t>Tool contract, source participation, configuration lifecycle, Tool editor</w:t>
            </w:r>
          </w:p>
        </w:tc>
        <w:tc>
          <w:tcPr>
            <w:tcW w:type="dxa" w:w="3744"/>
            <w:vAlign w:val="top"/>
            <w:tcMar>
              <w:top w:w="70" w:type="dxa"/>
              <w:start w:w="90" w:type="dxa"/>
              <w:bottom w:w="70" w:type="dxa"/>
              <w:end w:w="90" w:type="dxa"/>
            </w:tcMar>
          </w:tcPr>
          <w:p>
            <w:pPr>
              <w:spacing w:after="0"/>
            </w:pPr>
            <w:r>
              <w:rPr>
                <w:sz w:val="16"/>
              </w:rPr>
              <w:t>KPI configuration, component runtime payload</w:t>
            </w:r>
          </w:p>
        </w:tc>
      </w:tr>
      <w:tr>
        <w:trPr>
          <w:cantSplit/>
        </w:trPr>
        <w:tc>
          <w:tcPr>
            <w:tcW w:type="dxa" w:w="2016"/>
            <w:shd w:fill="F5F7F9"/>
            <w:vAlign w:val="top"/>
            <w:tcMar>
              <w:top w:w="70" w:type="dxa"/>
              <w:start w:w="90" w:type="dxa"/>
              <w:bottom w:w="70" w:type="dxa"/>
              <w:end w:w="90" w:type="dxa"/>
            </w:tcMar>
          </w:tcPr>
          <w:p>
            <w:pPr>
              <w:spacing w:after="0"/>
            </w:pPr>
            <w:r>
              <w:rPr>
                <w:sz w:val="16"/>
              </w:rPr>
              <w:t>kpis</w:t>
            </w:r>
          </w:p>
        </w:tc>
        <w:tc>
          <w:tcPr>
            <w:tcW w:type="dxa" w:w="4464"/>
            <w:shd w:fill="F5F7F9"/>
            <w:vAlign w:val="top"/>
            <w:tcMar>
              <w:top w:w="70" w:type="dxa"/>
              <w:start w:w="90" w:type="dxa"/>
              <w:bottom w:w="70" w:type="dxa"/>
              <w:end w:w="90" w:type="dxa"/>
            </w:tcMar>
          </w:tcPr>
          <w:p>
            <w:pPr>
              <w:spacing w:after="0"/>
            </w:pPr>
            <w:r>
              <w:rPr>
                <w:sz w:val="16"/>
              </w:rPr>
              <w:t>KPI definitions and KPI administrative configuration</w:t>
            </w:r>
          </w:p>
        </w:tc>
        <w:tc>
          <w:tcPr>
            <w:tcW w:type="dxa" w:w="3744"/>
            <w:shd w:fill="F5F7F9"/>
            <w:vAlign w:val="top"/>
            <w:tcMar>
              <w:top w:w="70" w:type="dxa"/>
              <w:start w:w="90" w:type="dxa"/>
              <w:bottom w:w="70" w:type="dxa"/>
              <w:end w:w="90" w:type="dxa"/>
            </w:tcMar>
          </w:tcPr>
          <w:p>
            <w:pPr>
              <w:spacing w:after="0"/>
            </w:pPr>
            <w:r>
              <w:rPr>
                <w:sz w:val="16"/>
              </w:rPr>
              <w:t>Tool identity generation</w:t>
            </w:r>
          </w:p>
        </w:tc>
      </w:tr>
      <w:tr>
        <w:trPr>
          <w:cantSplit/>
        </w:trPr>
        <w:tc>
          <w:tcPr>
            <w:tcW w:type="dxa" w:w="2016"/>
            <w:vAlign w:val="top"/>
            <w:tcMar>
              <w:top w:w="70" w:type="dxa"/>
              <w:start w:w="90" w:type="dxa"/>
              <w:bottom w:w="70" w:type="dxa"/>
              <w:end w:w="90" w:type="dxa"/>
            </w:tcMar>
          </w:tcPr>
          <w:p>
            <w:pPr>
              <w:spacing w:after="0"/>
            </w:pPr>
            <w:r>
              <w:rPr>
                <w:sz w:val="16"/>
              </w:rPr>
              <w:t>components</w:t>
            </w:r>
          </w:p>
        </w:tc>
        <w:tc>
          <w:tcPr>
            <w:tcW w:type="dxa" w:w="4464"/>
            <w:vAlign w:val="top"/>
            <w:tcMar>
              <w:top w:w="70" w:type="dxa"/>
              <w:start w:w="90" w:type="dxa"/>
              <w:bottom w:w="70" w:type="dxa"/>
              <w:end w:w="90" w:type="dxa"/>
            </w:tcMar>
          </w:tcPr>
          <w:p>
            <w:pPr>
              <w:spacing w:after="0"/>
            </w:pPr>
            <w:r>
              <w:rPr>
                <w:sz w:val="16"/>
              </w:rPr>
              <w:t>Component Store, delivery/hydration, structural render binding</w:t>
            </w:r>
          </w:p>
        </w:tc>
        <w:tc>
          <w:tcPr>
            <w:tcW w:type="dxa" w:w="3744"/>
            <w:vAlign w:val="top"/>
            <w:tcMar>
              <w:top w:w="70" w:type="dxa"/>
              <w:start w:w="90" w:type="dxa"/>
              <w:bottom w:w="70" w:type="dxa"/>
              <w:end w:w="90" w:type="dxa"/>
            </w:tcMar>
          </w:tcPr>
          <w:p>
            <w:pPr>
              <w:spacing w:after="0"/>
            </w:pPr>
            <w:r>
              <w:rPr>
                <w:sz w:val="16"/>
              </w:rPr>
              <w:t>Tool configuration lifecycle</w:t>
            </w:r>
          </w:p>
        </w:tc>
      </w:tr>
      <w:tr>
        <w:trPr>
          <w:cantSplit/>
        </w:trPr>
        <w:tc>
          <w:tcPr>
            <w:tcW w:type="dxa" w:w="2016"/>
            <w:shd w:fill="F5F7F9"/>
            <w:vAlign w:val="top"/>
            <w:tcMar>
              <w:top w:w="70" w:type="dxa"/>
              <w:start w:w="90" w:type="dxa"/>
              <w:bottom w:w="70" w:type="dxa"/>
              <w:end w:w="90" w:type="dxa"/>
            </w:tcMar>
          </w:tcPr>
          <w:p>
            <w:pPr>
              <w:spacing w:after="0"/>
            </w:pPr>
            <w:r>
              <w:rPr>
                <w:sz w:val="16"/>
              </w:rPr>
              <w:t>content-state</w:t>
            </w:r>
          </w:p>
        </w:tc>
        <w:tc>
          <w:tcPr>
            <w:tcW w:type="dxa" w:w="4464"/>
            <w:shd w:fill="F5F7F9"/>
            <w:vAlign w:val="top"/>
            <w:tcMar>
              <w:top w:w="70" w:type="dxa"/>
              <w:start w:w="90" w:type="dxa"/>
              <w:bottom w:w="70" w:type="dxa"/>
              <w:end w:w="90" w:type="dxa"/>
            </w:tcMar>
          </w:tcPr>
          <w:p>
            <w:pPr>
              <w:spacing w:after="0"/>
            </w:pPr>
            <w:r>
              <w:rPr>
                <w:sz w:val="16"/>
              </w:rPr>
              <w:t>Pure content state contracts/policies and dependency resolution</w:t>
            </w:r>
          </w:p>
        </w:tc>
        <w:tc>
          <w:tcPr>
            <w:tcW w:type="dxa" w:w="3744"/>
            <w:shd w:fill="F5F7F9"/>
            <w:vAlign w:val="top"/>
            <w:tcMar>
              <w:top w:w="70" w:type="dxa"/>
              <w:start w:w="90" w:type="dxa"/>
              <w:bottom w:w="70" w:type="dxa"/>
              <w:end w:w="90" w:type="dxa"/>
            </w:tcMar>
          </w:tcPr>
          <w:p>
            <w:pPr>
              <w:spacing w:after="0"/>
            </w:pPr>
            <w:r>
              <w:rPr>
                <w:sz w:val="16"/>
              </w:rPr>
              <w:t>Time Status presentation</w:t>
            </w:r>
          </w:p>
        </w:tc>
      </w:tr>
      <w:tr>
        <w:trPr>
          <w:cantSplit/>
        </w:trPr>
        <w:tc>
          <w:tcPr>
            <w:tcW w:type="dxa" w:w="2016"/>
            <w:vAlign w:val="top"/>
            <w:tcMar>
              <w:top w:w="70" w:type="dxa"/>
              <w:start w:w="90" w:type="dxa"/>
              <w:bottom w:w="70" w:type="dxa"/>
              <w:end w:w="90" w:type="dxa"/>
            </w:tcMar>
          </w:tcPr>
          <w:p>
            <w:pPr>
              <w:spacing w:after="0"/>
            </w:pPr>
            <w:r>
              <w:rPr>
                <w:sz w:val="16"/>
              </w:rPr>
              <w:t>inspection</w:t>
            </w:r>
          </w:p>
        </w:tc>
        <w:tc>
          <w:tcPr>
            <w:tcW w:type="dxa" w:w="4464"/>
            <w:vAlign w:val="top"/>
            <w:tcMar>
              <w:top w:w="70" w:type="dxa"/>
              <w:start w:w="90" w:type="dxa"/>
              <w:bottom w:w="70" w:type="dxa"/>
              <w:end w:w="90" w:type="dxa"/>
            </w:tcMar>
          </w:tcPr>
          <w:p>
            <w:pPr>
              <w:spacing w:after="0"/>
            </w:pPr>
            <w:r>
              <w:rPr>
                <w:sz w:val="16"/>
              </w:rPr>
              <w:t>Inspection contracts, runtime, providers, surface/preview/resilience</w:t>
            </w:r>
          </w:p>
        </w:tc>
        <w:tc>
          <w:tcPr>
            <w:tcW w:type="dxa" w:w="3744"/>
            <w:vAlign w:val="top"/>
            <w:tcMar>
              <w:top w:w="70" w:type="dxa"/>
              <w:start w:w="90" w:type="dxa"/>
              <w:bottom w:w="70" w:type="dxa"/>
              <w:end w:w="90" w:type="dxa"/>
            </w:tcMar>
          </w:tcPr>
          <w:p>
            <w:pPr>
              <w:spacing w:after="0"/>
            </w:pPr>
            <w:r>
              <w:rPr>
                <w:sz w:val="16"/>
              </w:rPr>
              <w:t>Manager configuration</w:t>
            </w:r>
          </w:p>
        </w:tc>
      </w:tr>
      <w:tr>
        <w:trPr>
          <w:cantSplit/>
        </w:trPr>
        <w:tc>
          <w:tcPr>
            <w:tcW w:type="dxa" w:w="2016"/>
            <w:shd w:fill="F5F7F9"/>
            <w:vAlign w:val="top"/>
            <w:tcMar>
              <w:top w:w="70" w:type="dxa"/>
              <w:start w:w="90" w:type="dxa"/>
              <w:bottom w:w="70" w:type="dxa"/>
              <w:end w:w="90" w:type="dxa"/>
            </w:tcMar>
          </w:tcPr>
          <w:p>
            <w:pPr>
              <w:spacing w:after="0"/>
            </w:pPr>
            <w:r>
              <w:rPr>
                <w:sz w:val="16"/>
              </w:rPr>
              <w:t>operational</w:t>
            </w:r>
          </w:p>
        </w:tc>
        <w:tc>
          <w:tcPr>
            <w:tcW w:type="dxa" w:w="4464"/>
            <w:shd w:fill="F5F7F9"/>
            <w:vAlign w:val="top"/>
            <w:tcMar>
              <w:top w:w="70" w:type="dxa"/>
              <w:start w:w="90" w:type="dxa"/>
              <w:bottom w:w="70" w:type="dxa"/>
              <w:end w:w="90" w:type="dxa"/>
            </w:tcMar>
          </w:tcPr>
          <w:p>
            <w:pPr>
              <w:spacing w:after="0"/>
            </w:pPr>
            <w:r>
              <w:rPr>
                <w:sz w:val="16"/>
              </w:rPr>
              <w:t>Operational coordination/state</w:t>
            </w:r>
          </w:p>
        </w:tc>
        <w:tc>
          <w:tcPr>
            <w:tcW w:type="dxa" w:w="3744"/>
            <w:shd w:fill="F5F7F9"/>
            <w:vAlign w:val="top"/>
            <w:tcMar>
              <w:top w:w="70" w:type="dxa"/>
              <w:start w:w="90" w:type="dxa"/>
              <w:bottom w:w="70" w:type="dxa"/>
              <w:end w:w="90" w:type="dxa"/>
            </w:tcMar>
          </w:tcPr>
          <w:p>
            <w:pPr>
              <w:spacing w:after="0"/>
            </w:pPr>
            <w:r>
              <w:rPr>
                <w:sz w:val="16"/>
              </w:rPr>
              <w:t>Domain-specific UI assets</w:t>
            </w:r>
          </w:p>
        </w:tc>
      </w:tr>
      <w:tr>
        <w:trPr>
          <w:cantSplit/>
        </w:trPr>
        <w:tc>
          <w:tcPr>
            <w:tcW w:type="dxa" w:w="2016"/>
            <w:vAlign w:val="top"/>
            <w:tcMar>
              <w:top w:w="70" w:type="dxa"/>
              <w:start w:w="90" w:type="dxa"/>
              <w:bottom w:w="70" w:type="dxa"/>
              <w:end w:w="90" w:type="dxa"/>
            </w:tcMar>
          </w:tcPr>
          <w:p>
            <w:pPr>
              <w:spacing w:after="0"/>
            </w:pPr>
            <w:r>
              <w:rPr>
                <w:sz w:val="16"/>
              </w:rPr>
              <w:t>time-status</w:t>
            </w:r>
          </w:p>
        </w:tc>
        <w:tc>
          <w:tcPr>
            <w:tcW w:type="dxa" w:w="4464"/>
            <w:vAlign w:val="top"/>
            <w:tcMar>
              <w:top w:w="70" w:type="dxa"/>
              <w:start w:w="90" w:type="dxa"/>
              <w:bottom w:w="70" w:type="dxa"/>
              <w:end w:w="90" w:type="dxa"/>
            </w:tcMar>
          </w:tcPr>
          <w:p>
            <w:pPr>
              <w:spacing w:after="0"/>
            </w:pPr>
            <w:r>
              <w:rPr>
                <w:sz w:val="16"/>
              </w:rPr>
              <w:t>Time Status state/adapters/presentation</w:t>
            </w:r>
          </w:p>
        </w:tc>
        <w:tc>
          <w:tcPr>
            <w:tcW w:type="dxa" w:w="3744"/>
            <w:vAlign w:val="top"/>
            <w:tcMar>
              <w:top w:w="70" w:type="dxa"/>
              <w:start w:w="90" w:type="dxa"/>
              <w:bottom w:w="70" w:type="dxa"/>
              <w:end w:w="90" w:type="dxa"/>
            </w:tcMar>
          </w:tcPr>
          <w:p>
            <w:pPr>
              <w:spacing w:after="0"/>
            </w:pPr>
            <w:r>
              <w:rPr>
                <w:sz w:val="16"/>
              </w:rPr>
              <w:t>Generic UI primitives</w:t>
            </w:r>
          </w:p>
        </w:tc>
      </w:tr>
      <w:tr>
        <w:trPr>
          <w:cantSplit/>
        </w:trPr>
        <w:tc>
          <w:tcPr>
            <w:tcW w:type="dxa" w:w="2016"/>
            <w:shd w:fill="F5F7F9"/>
            <w:vAlign w:val="top"/>
            <w:tcMar>
              <w:top w:w="70" w:type="dxa"/>
              <w:start w:w="90" w:type="dxa"/>
              <w:bottom w:w="70" w:type="dxa"/>
              <w:end w:w="90" w:type="dxa"/>
            </w:tcMar>
          </w:tcPr>
          <w:p>
            <w:pPr>
              <w:spacing w:after="0"/>
            </w:pPr>
            <w:r>
              <w:rPr>
                <w:sz w:val="16"/>
              </w:rPr>
              <w:t>branding</w:t>
            </w:r>
          </w:p>
        </w:tc>
        <w:tc>
          <w:tcPr>
            <w:tcW w:type="dxa" w:w="4464"/>
            <w:shd w:fill="F5F7F9"/>
            <w:vAlign w:val="top"/>
            <w:tcMar>
              <w:top w:w="70" w:type="dxa"/>
              <w:start w:w="90" w:type="dxa"/>
              <w:bottom w:w="70" w:type="dxa"/>
              <w:end w:w="90" w:type="dxa"/>
            </w:tcMar>
          </w:tcPr>
          <w:p>
            <w:pPr>
              <w:spacing w:after="0"/>
            </w:pPr>
            <w:r>
              <w:rPr>
                <w:sz w:val="16"/>
              </w:rPr>
              <w:t>Branding configuration, variant resolution, branding assets and presentation</w:t>
            </w:r>
          </w:p>
        </w:tc>
        <w:tc>
          <w:tcPr>
            <w:tcW w:type="dxa" w:w="3744"/>
            <w:shd w:fill="F5F7F9"/>
            <w:vAlign w:val="top"/>
            <w:tcMar>
              <w:top w:w="70" w:type="dxa"/>
              <w:start w:w="90" w:type="dxa"/>
              <w:bottom w:w="70" w:type="dxa"/>
              <w:end w:w="90" w:type="dxa"/>
            </w:tcMar>
          </w:tcPr>
          <w:p>
            <w:pPr>
              <w:spacing w:after="0"/>
            </w:pPr>
            <w:r>
              <w:rPr>
                <w:sz w:val="16"/>
              </w:rPr>
              <w:t>Tool/KPI lifecycle</w:t>
            </w:r>
          </w:p>
        </w:tc>
      </w:tr>
      <w:tr>
        <w:trPr>
          <w:cantSplit/>
        </w:trPr>
        <w:tc>
          <w:tcPr>
            <w:tcW w:type="dxa" w:w="2016"/>
            <w:vAlign w:val="top"/>
            <w:tcMar>
              <w:top w:w="70" w:type="dxa"/>
              <w:start w:w="90" w:type="dxa"/>
              <w:bottom w:w="70" w:type="dxa"/>
              <w:end w:w="90" w:type="dxa"/>
            </w:tcMar>
          </w:tcPr>
          <w:p>
            <w:pPr>
              <w:spacing w:after="0"/>
            </w:pPr>
            <w:r>
              <w:rPr>
                <w:sz w:val="16"/>
              </w:rPr>
              <w:t>ui</w:t>
            </w:r>
          </w:p>
        </w:tc>
        <w:tc>
          <w:tcPr>
            <w:tcW w:type="dxa" w:w="4464"/>
            <w:vAlign w:val="top"/>
            <w:tcMar>
              <w:top w:w="70" w:type="dxa"/>
              <w:start w:w="90" w:type="dxa"/>
              <w:bottom w:w="70" w:type="dxa"/>
              <w:end w:w="90" w:type="dxa"/>
            </w:tcMar>
          </w:tcPr>
          <w:p>
            <w:pPr>
              <w:spacing w:after="0"/>
            </w:pPr>
            <w:r>
              <w:rPr>
                <w:sz w:val="16"/>
              </w:rPr>
              <w:t>Only generic visual primitives usable across domains</w:t>
            </w:r>
          </w:p>
        </w:tc>
        <w:tc>
          <w:tcPr>
            <w:tcW w:type="dxa" w:w="3744"/>
            <w:vAlign w:val="top"/>
            <w:tcMar>
              <w:top w:w="70" w:type="dxa"/>
              <w:start w:w="90" w:type="dxa"/>
              <w:bottom w:w="70" w:type="dxa"/>
              <w:end w:w="90" w:type="dxa"/>
            </w:tcMar>
          </w:tcPr>
          <w:p>
            <w:pPr>
              <w:spacing w:after="0"/>
            </w:pPr>
            <w:r>
              <w:rPr>
                <w:sz w:val="16"/>
              </w:rPr>
              <w:t>Domain-specific features</w:t>
            </w:r>
          </w:p>
        </w:tc>
      </w:tr>
    </w:tbl>
    <w:p/>
    <w:p>
      <w:pPr>
        <w:pStyle w:val="Heading1"/>
      </w:pPr>
      <w:r>
        <w:t>4. Migration map: current → target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880"/>
            <w:shd w:fill="173A5E"/>
            <w:vAlign w:val="center"/>
            <w:tcMar>
              <w:top w:w="80" w:type="dxa"/>
              <w:start w:w="90" w:type="dxa"/>
              <w:bottom w:w="80" w:type="dxa"/>
              <w:end w:w="90" w:type="dxa"/>
            </w:tcMar>
          </w:tcPr>
          <w:p>
            <w:r>
              <w:rPr>
                <w:b/>
                <w:color w:val="FFFFFF"/>
                <w:sz w:val="17"/>
              </w:rPr>
              <w:t>Current route/package</w:t>
            </w:r>
          </w:p>
        </w:tc>
        <w:tc>
          <w:tcPr>
            <w:tcW w:type="dxa" w:w="1728"/>
            <w:shd w:fill="173A5E"/>
            <w:vAlign w:val="center"/>
            <w:tcMar>
              <w:top w:w="80" w:type="dxa"/>
              <w:start w:w="90" w:type="dxa"/>
              <w:bottom w:w="80" w:type="dxa"/>
              <w:end w:w="90" w:type="dxa"/>
            </w:tcMar>
          </w:tcPr>
          <w:p>
            <w:r>
              <w:rPr>
                <w:b/>
                <w:color w:val="FFFFFF"/>
                <w:sz w:val="17"/>
              </w:rPr>
              <w:t>Target owner</w:t>
            </w:r>
          </w:p>
        </w:tc>
        <w:tc>
          <w:tcPr>
            <w:tcW w:type="dxa" w:w="3312"/>
            <w:shd w:fill="173A5E"/>
            <w:vAlign w:val="center"/>
            <w:tcMar>
              <w:top w:w="80" w:type="dxa"/>
              <w:start w:w="90" w:type="dxa"/>
              <w:bottom w:w="80" w:type="dxa"/>
              <w:end w:w="90" w:type="dxa"/>
            </w:tcMar>
          </w:tcPr>
          <w:p>
            <w:r>
              <w:rPr>
                <w:b/>
                <w:color w:val="FFFFFF"/>
                <w:sz w:val="17"/>
              </w:rPr>
              <w:t>Target shape</w:t>
            </w:r>
          </w:p>
        </w:tc>
        <w:tc>
          <w:tcPr>
            <w:tcW w:type="dxa" w:w="2880"/>
            <w:shd w:fill="173A5E"/>
            <w:vAlign w:val="center"/>
            <w:tcMar>
              <w:top w:w="80" w:type="dxa"/>
              <w:start w:w="90" w:type="dxa"/>
              <w:bottom w:w="80" w:type="dxa"/>
              <w:end w:w="90" w:type="dxa"/>
            </w:tcMar>
          </w:tcPr>
          <w:p>
            <w:r>
              <w:rPr>
                <w:b/>
                <w:color w:val="FFFFFF"/>
                <w:sz w:val="17"/>
              </w:rPr>
              <w:t>Initial wheel decision</w:t>
            </w:r>
          </w:p>
        </w:tc>
      </w:tr>
      <w:tr>
        <w:trPr>
          <w:cantSplit/>
        </w:trPr>
        <w:tc>
          <w:tcPr>
            <w:tcW w:type="dxa" w:w="2880"/>
            <w:vAlign w:val="top"/>
            <w:tcMar>
              <w:top w:w="70" w:type="dxa"/>
              <w:start w:w="90" w:type="dxa"/>
              <w:bottom w:w="70" w:type="dxa"/>
              <w:end w:w="90" w:type="dxa"/>
            </w:tcMar>
          </w:tcPr>
          <w:p>
            <w:pPr>
              <w:spacing w:after="0"/>
            </w:pPr>
            <w:r>
              <w:rPr>
                <w:sz w:val="16"/>
              </w:rPr>
              <w:t>configuration/tools</w:t>
            </w:r>
          </w:p>
        </w:tc>
        <w:tc>
          <w:tcPr>
            <w:tcW w:type="dxa" w:w="1728"/>
            <w:vAlign w:val="top"/>
            <w:tcMar>
              <w:top w:w="70" w:type="dxa"/>
              <w:start w:w="90" w:type="dxa"/>
              <w:bottom w:w="70" w:type="dxa"/>
              <w:end w:w="90" w:type="dxa"/>
            </w:tcMar>
          </w:tcPr>
          <w:p>
            <w:pPr>
              <w:spacing w:after="0"/>
            </w:pPr>
            <w:r>
              <w:rPr>
                <w:sz w:val="16"/>
              </w:rPr>
              <w:t>tools</w:t>
            </w:r>
          </w:p>
        </w:tc>
        <w:tc>
          <w:tcPr>
            <w:tcW w:type="dxa" w:w="3312"/>
            <w:vAlign w:val="top"/>
            <w:tcMar>
              <w:top w:w="70" w:type="dxa"/>
              <w:start w:w="90" w:type="dxa"/>
              <w:bottom w:w="70" w:type="dxa"/>
              <w:end w:w="90" w:type="dxa"/>
            </w:tcMar>
          </w:tcPr>
          <w:p>
            <w:pPr>
              <w:spacing w:after="0"/>
            </w:pPr>
            <w:r>
              <w:rPr>
                <w:sz w:val="16"/>
              </w:rPr>
              <w:t>tools/core</w:t>
            </w:r>
          </w:p>
        </w:tc>
        <w:tc>
          <w:tcPr>
            <w:tcW w:type="dxa" w:w="2880"/>
            <w:vAlign w:val="top"/>
            <w:tcMar>
              <w:top w:w="70" w:type="dxa"/>
              <w:start w:w="90" w:type="dxa"/>
              <w:bottom w:w="70" w:type="dxa"/>
              <w:end w:w="90" w:type="dxa"/>
            </w:tcMar>
          </w:tcPr>
          <w:p>
            <w:pPr>
              <w:spacing w:after="0"/>
            </w:pPr>
            <w:r>
              <w:rPr>
                <w:sz w:val="16"/>
              </w:rPr>
              <w:t>Keep as core Tool wheel</w:t>
            </w:r>
          </w:p>
        </w:tc>
      </w:tr>
      <w:tr>
        <w:trPr>
          <w:cantSplit/>
        </w:trPr>
        <w:tc>
          <w:tcPr>
            <w:tcW w:type="dxa" w:w="2880"/>
            <w:shd w:fill="F5F7F9"/>
            <w:vAlign w:val="top"/>
            <w:tcMar>
              <w:top w:w="70" w:type="dxa"/>
              <w:start w:w="90" w:type="dxa"/>
              <w:bottom w:w="70" w:type="dxa"/>
              <w:end w:w="90" w:type="dxa"/>
            </w:tcMar>
          </w:tcPr>
          <w:p>
            <w:pPr>
              <w:spacing w:after="0"/>
            </w:pPr>
            <w:r>
              <w:rPr>
                <w:sz w:val="16"/>
              </w:rPr>
              <w:t>configuration/tool-sources</w:t>
            </w:r>
          </w:p>
        </w:tc>
        <w:tc>
          <w:tcPr>
            <w:tcW w:type="dxa" w:w="1728"/>
            <w:shd w:fill="F5F7F9"/>
            <w:vAlign w:val="top"/>
            <w:tcMar>
              <w:top w:w="70" w:type="dxa"/>
              <w:start w:w="90" w:type="dxa"/>
              <w:bottom w:w="70" w:type="dxa"/>
              <w:end w:w="90" w:type="dxa"/>
            </w:tcMar>
          </w:tcPr>
          <w:p>
            <w:pPr>
              <w:spacing w:after="0"/>
            </w:pPr>
            <w:r>
              <w:rPr>
                <w:sz w:val="16"/>
              </w:rPr>
              <w:t>tools</w:t>
            </w:r>
          </w:p>
        </w:tc>
        <w:tc>
          <w:tcPr>
            <w:tcW w:type="dxa" w:w="3312"/>
            <w:shd w:fill="F5F7F9"/>
            <w:vAlign w:val="top"/>
            <w:tcMar>
              <w:top w:w="70" w:type="dxa"/>
              <w:start w:w="90" w:type="dxa"/>
              <w:bottom w:w="70" w:type="dxa"/>
              <w:end w:w="90" w:type="dxa"/>
            </w:tcMar>
          </w:tcPr>
          <w:p>
            <w:pPr>
              <w:spacing w:after="0"/>
            </w:pPr>
            <w:r>
              <w:rPr>
                <w:sz w:val="16"/>
              </w:rPr>
              <w:t>tools/core/source_*</w:t>
            </w:r>
          </w:p>
        </w:tc>
        <w:tc>
          <w:tcPr>
            <w:tcW w:type="dxa" w:w="2880"/>
            <w:shd w:fill="F5F7F9"/>
            <w:vAlign w:val="top"/>
            <w:tcMar>
              <w:top w:w="70" w:type="dxa"/>
              <w:start w:w="90" w:type="dxa"/>
              <w:bottom w:w="70" w:type="dxa"/>
              <w:end w:w="90" w:type="dxa"/>
            </w:tcMar>
          </w:tcPr>
          <w:p>
            <w:pPr>
              <w:spacing w:after="0"/>
            </w:pPr>
            <w:r>
              <w:rPr>
                <w:sz w:val="16"/>
              </w:rPr>
              <w:t>Merge into Tool core</w:t>
            </w:r>
          </w:p>
        </w:tc>
      </w:tr>
      <w:tr>
        <w:trPr>
          <w:cantSplit/>
        </w:trPr>
        <w:tc>
          <w:tcPr>
            <w:tcW w:type="dxa" w:w="2880"/>
            <w:vAlign w:val="top"/>
            <w:tcMar>
              <w:top w:w="70" w:type="dxa"/>
              <w:start w:w="90" w:type="dxa"/>
              <w:bottom w:w="70" w:type="dxa"/>
              <w:end w:w="90" w:type="dxa"/>
            </w:tcMar>
          </w:tcPr>
          <w:p>
            <w:pPr>
              <w:spacing w:after="0"/>
            </w:pPr>
            <w:r>
              <w:rPr>
                <w:sz w:val="16"/>
              </w:rPr>
              <w:t>configuration/tools-lifecycle</w:t>
            </w:r>
          </w:p>
        </w:tc>
        <w:tc>
          <w:tcPr>
            <w:tcW w:type="dxa" w:w="1728"/>
            <w:vAlign w:val="top"/>
            <w:tcMar>
              <w:top w:w="70" w:type="dxa"/>
              <w:start w:w="90" w:type="dxa"/>
              <w:bottom w:w="70" w:type="dxa"/>
              <w:end w:w="90" w:type="dxa"/>
            </w:tcMar>
          </w:tcPr>
          <w:p>
            <w:pPr>
              <w:spacing w:after="0"/>
            </w:pPr>
            <w:r>
              <w:rPr>
                <w:sz w:val="16"/>
              </w:rPr>
              <w:t>tools</w:t>
            </w:r>
          </w:p>
        </w:tc>
        <w:tc>
          <w:tcPr>
            <w:tcW w:type="dxa" w:w="3312"/>
            <w:vAlign w:val="top"/>
            <w:tcMar>
              <w:top w:w="70" w:type="dxa"/>
              <w:start w:w="90" w:type="dxa"/>
              <w:bottom w:w="70" w:type="dxa"/>
              <w:end w:w="90" w:type="dxa"/>
            </w:tcMar>
          </w:tcPr>
          <w:p>
            <w:pPr>
              <w:spacing w:after="0"/>
            </w:pPr>
            <w:r>
              <w:rPr>
                <w:sz w:val="16"/>
              </w:rPr>
              <w:t>tools/configuration</w:t>
            </w:r>
          </w:p>
        </w:tc>
        <w:tc>
          <w:tcPr>
            <w:tcW w:type="dxa" w:w="2880"/>
            <w:vAlign w:val="top"/>
            <w:tcMar>
              <w:top w:w="70" w:type="dxa"/>
              <w:start w:w="90" w:type="dxa"/>
              <w:bottom w:w="70" w:type="dxa"/>
              <w:end w:w="90" w:type="dxa"/>
            </w:tcMar>
          </w:tcPr>
          <w:p>
            <w:pPr>
              <w:spacing w:after="0"/>
            </w:pPr>
            <w:r>
              <w:rPr>
                <w:sz w:val="16"/>
              </w:rPr>
              <w:t>Merge</w:t>
            </w:r>
          </w:p>
        </w:tc>
      </w:tr>
      <w:tr>
        <w:trPr>
          <w:cantSplit/>
        </w:trPr>
        <w:tc>
          <w:tcPr>
            <w:tcW w:type="dxa" w:w="2880"/>
            <w:shd w:fill="F5F7F9"/>
            <w:vAlign w:val="top"/>
            <w:tcMar>
              <w:top w:w="70" w:type="dxa"/>
              <w:start w:w="90" w:type="dxa"/>
              <w:bottom w:w="70" w:type="dxa"/>
              <w:end w:w="90" w:type="dxa"/>
            </w:tcMar>
          </w:tcPr>
          <w:p>
            <w:pPr>
              <w:spacing w:after="0"/>
            </w:pPr>
            <w:r>
              <w:rPr>
                <w:sz w:val="16"/>
              </w:rPr>
              <w:t>configuration/tool-editor</w:t>
            </w:r>
          </w:p>
        </w:tc>
        <w:tc>
          <w:tcPr>
            <w:tcW w:type="dxa" w:w="1728"/>
            <w:shd w:fill="F5F7F9"/>
            <w:vAlign w:val="top"/>
            <w:tcMar>
              <w:top w:w="70" w:type="dxa"/>
              <w:start w:w="90" w:type="dxa"/>
              <w:bottom w:w="70" w:type="dxa"/>
              <w:end w:w="90" w:type="dxa"/>
            </w:tcMar>
          </w:tcPr>
          <w:p>
            <w:pPr>
              <w:spacing w:after="0"/>
            </w:pPr>
            <w:r>
              <w:rPr>
                <w:sz w:val="16"/>
              </w:rPr>
              <w:t>tools</w:t>
            </w:r>
          </w:p>
        </w:tc>
        <w:tc>
          <w:tcPr>
            <w:tcW w:type="dxa" w:w="3312"/>
            <w:shd w:fill="F5F7F9"/>
            <w:vAlign w:val="top"/>
            <w:tcMar>
              <w:top w:w="70" w:type="dxa"/>
              <w:start w:w="90" w:type="dxa"/>
              <w:bottom w:w="70" w:type="dxa"/>
              <w:end w:w="90" w:type="dxa"/>
            </w:tcMar>
          </w:tcPr>
          <w:p>
            <w:pPr>
              <w:spacing w:after="0"/>
            </w:pPr>
            <w:r>
              <w:rPr>
                <w:sz w:val="16"/>
              </w:rPr>
              <w:t>tools/configuration/web</w:t>
            </w:r>
          </w:p>
        </w:tc>
        <w:tc>
          <w:tcPr>
            <w:tcW w:type="dxa" w:w="2880"/>
            <w:shd w:fill="F5F7F9"/>
            <w:vAlign w:val="top"/>
            <w:tcMar>
              <w:top w:w="70" w:type="dxa"/>
              <w:start w:w="90" w:type="dxa"/>
              <w:bottom w:w="70" w:type="dxa"/>
              <w:end w:w="90" w:type="dxa"/>
            </w:tcMar>
          </w:tcPr>
          <w:p>
            <w:pPr>
              <w:spacing w:after="0"/>
            </w:pPr>
            <w:r>
              <w:rPr>
                <w:sz w:val="16"/>
              </w:rPr>
              <w:t>Merge; Web optional dependency</w:t>
            </w:r>
          </w:p>
        </w:tc>
      </w:tr>
      <w:tr>
        <w:trPr>
          <w:cantSplit/>
        </w:trPr>
        <w:tc>
          <w:tcPr>
            <w:tcW w:type="dxa" w:w="2880"/>
            <w:vAlign w:val="top"/>
            <w:tcMar>
              <w:top w:w="70" w:type="dxa"/>
              <w:start w:w="90" w:type="dxa"/>
              <w:bottom w:w="70" w:type="dxa"/>
              <w:end w:w="90" w:type="dxa"/>
            </w:tcMar>
          </w:tcPr>
          <w:p>
            <w:pPr>
              <w:spacing w:after="0"/>
            </w:pPr>
            <w:r>
              <w:rPr>
                <w:sz w:val="16"/>
              </w:rPr>
              <w:t>configuration/kpi-definition</w:t>
            </w:r>
          </w:p>
        </w:tc>
        <w:tc>
          <w:tcPr>
            <w:tcW w:type="dxa" w:w="1728"/>
            <w:vAlign w:val="top"/>
            <w:tcMar>
              <w:top w:w="70" w:type="dxa"/>
              <w:start w:w="90" w:type="dxa"/>
              <w:bottom w:w="70" w:type="dxa"/>
              <w:end w:w="90" w:type="dxa"/>
            </w:tcMar>
          </w:tcPr>
          <w:p>
            <w:pPr>
              <w:spacing w:after="0"/>
            </w:pPr>
            <w:r>
              <w:rPr>
                <w:sz w:val="16"/>
              </w:rPr>
              <w:t>kpis</w:t>
            </w:r>
          </w:p>
        </w:tc>
        <w:tc>
          <w:tcPr>
            <w:tcW w:type="dxa" w:w="3312"/>
            <w:vAlign w:val="top"/>
            <w:tcMar>
              <w:top w:w="70" w:type="dxa"/>
              <w:start w:w="90" w:type="dxa"/>
              <w:bottom w:w="70" w:type="dxa"/>
              <w:end w:w="90" w:type="dxa"/>
            </w:tcMar>
          </w:tcPr>
          <w:p>
            <w:pPr>
              <w:spacing w:after="0"/>
            </w:pPr>
            <w:r>
              <w:rPr>
                <w:sz w:val="16"/>
              </w:rPr>
              <w:t>kpis/definition</w:t>
            </w:r>
          </w:p>
        </w:tc>
        <w:tc>
          <w:tcPr>
            <w:tcW w:type="dxa" w:w="2880"/>
            <w:vAlign w:val="top"/>
            <w:tcMar>
              <w:top w:w="70" w:type="dxa"/>
              <w:start w:w="90" w:type="dxa"/>
              <w:bottom w:w="70" w:type="dxa"/>
              <w:end w:w="90" w:type="dxa"/>
            </w:tcMar>
          </w:tcPr>
          <w:p>
            <w:pPr>
              <w:spacing w:after="0"/>
            </w:pPr>
            <w:r>
              <w:rPr>
                <w:sz w:val="16"/>
              </w:rPr>
              <w:t>Preserve capability boundary</w:t>
            </w:r>
          </w:p>
        </w:tc>
      </w:tr>
      <w:tr>
        <w:trPr>
          <w:cantSplit/>
        </w:trPr>
        <w:tc>
          <w:tcPr>
            <w:tcW w:type="dxa" w:w="2880"/>
            <w:shd w:fill="F5F7F9"/>
            <w:vAlign w:val="top"/>
            <w:tcMar>
              <w:top w:w="70" w:type="dxa"/>
              <w:start w:w="90" w:type="dxa"/>
              <w:bottom w:w="70" w:type="dxa"/>
              <w:end w:w="90" w:type="dxa"/>
            </w:tcMar>
          </w:tcPr>
          <w:p>
            <w:pPr>
              <w:spacing w:after="0"/>
            </w:pPr>
            <w:r>
              <w:rPr>
                <w:sz w:val="16"/>
              </w:rPr>
              <w:t>configuration/kpi-configuration</w:t>
            </w:r>
          </w:p>
        </w:tc>
        <w:tc>
          <w:tcPr>
            <w:tcW w:type="dxa" w:w="1728"/>
            <w:shd w:fill="F5F7F9"/>
            <w:vAlign w:val="top"/>
            <w:tcMar>
              <w:top w:w="70" w:type="dxa"/>
              <w:start w:w="90" w:type="dxa"/>
              <w:bottom w:w="70" w:type="dxa"/>
              <w:end w:w="90" w:type="dxa"/>
            </w:tcMar>
          </w:tcPr>
          <w:p>
            <w:pPr>
              <w:spacing w:after="0"/>
            </w:pPr>
            <w:r>
              <w:rPr>
                <w:sz w:val="16"/>
              </w:rPr>
              <w:t>kpis</w:t>
            </w:r>
          </w:p>
        </w:tc>
        <w:tc>
          <w:tcPr>
            <w:tcW w:type="dxa" w:w="3312"/>
            <w:shd w:fill="F5F7F9"/>
            <w:vAlign w:val="top"/>
            <w:tcMar>
              <w:top w:w="70" w:type="dxa"/>
              <w:start w:w="90" w:type="dxa"/>
              <w:bottom w:w="70" w:type="dxa"/>
              <w:end w:w="90" w:type="dxa"/>
            </w:tcMar>
          </w:tcPr>
          <w:p>
            <w:pPr>
              <w:spacing w:after="0"/>
            </w:pPr>
            <w:r>
              <w:rPr>
                <w:sz w:val="16"/>
              </w:rPr>
              <w:t>kpis/configuration</w:t>
            </w:r>
          </w:p>
        </w:tc>
        <w:tc>
          <w:tcPr>
            <w:tcW w:type="dxa" w:w="2880"/>
            <w:shd w:fill="F5F7F9"/>
            <w:vAlign w:val="top"/>
            <w:tcMar>
              <w:top w:w="70" w:type="dxa"/>
              <w:start w:w="90" w:type="dxa"/>
              <w:bottom w:w="70" w:type="dxa"/>
              <w:end w:w="90" w:type="dxa"/>
            </w:tcMar>
          </w:tcPr>
          <w:p>
            <w:pPr>
              <w:spacing w:after="0"/>
            </w:pPr>
            <w:r>
              <w:rPr>
                <w:sz w:val="16"/>
              </w:rPr>
              <w:t>Preserve one configuration wheel</w:t>
            </w:r>
          </w:p>
        </w:tc>
      </w:tr>
      <w:tr>
        <w:trPr>
          <w:cantSplit/>
        </w:trPr>
        <w:tc>
          <w:tcPr>
            <w:tcW w:type="dxa" w:w="2880"/>
            <w:vAlign w:val="top"/>
            <w:tcMar>
              <w:top w:w="70" w:type="dxa"/>
              <w:start w:w="90" w:type="dxa"/>
              <w:bottom w:w="70" w:type="dxa"/>
              <w:end w:w="90" w:type="dxa"/>
            </w:tcMar>
          </w:tcPr>
          <w:p>
            <w:pPr>
              <w:spacing w:after="0"/>
            </w:pPr>
            <w:r>
              <w:rPr>
                <w:sz w:val="16"/>
              </w:rPr>
              <w:t>component-store</w:t>
            </w:r>
          </w:p>
        </w:tc>
        <w:tc>
          <w:tcPr>
            <w:tcW w:type="dxa" w:w="1728"/>
            <w:vAlign w:val="top"/>
            <w:tcMar>
              <w:top w:w="70" w:type="dxa"/>
              <w:start w:w="90" w:type="dxa"/>
              <w:bottom w:w="70" w:type="dxa"/>
              <w:end w:w="90" w:type="dxa"/>
            </w:tcMar>
          </w:tcPr>
          <w:p>
            <w:pPr>
              <w:spacing w:after="0"/>
            </w:pPr>
            <w:r>
              <w:rPr>
                <w:sz w:val="16"/>
              </w:rPr>
              <w:t>components</w:t>
            </w:r>
          </w:p>
        </w:tc>
        <w:tc>
          <w:tcPr>
            <w:tcW w:type="dxa" w:w="3312"/>
            <w:vAlign w:val="top"/>
            <w:tcMar>
              <w:top w:w="70" w:type="dxa"/>
              <w:start w:w="90" w:type="dxa"/>
              <w:bottom w:w="70" w:type="dxa"/>
              <w:end w:w="90" w:type="dxa"/>
            </w:tcMar>
          </w:tcPr>
          <w:p>
            <w:pPr>
              <w:spacing w:after="0"/>
            </w:pPr>
            <w:r>
              <w:rPr>
                <w:sz w:val="16"/>
              </w:rPr>
              <w:t>components/store</w:t>
            </w:r>
          </w:p>
        </w:tc>
        <w:tc>
          <w:tcPr>
            <w:tcW w:type="dxa" w:w="2880"/>
            <w:vAlign w:val="top"/>
            <w:tcMar>
              <w:top w:w="70" w:type="dxa"/>
              <w:start w:w="90" w:type="dxa"/>
              <w:bottom w:w="70" w:type="dxa"/>
              <w:end w:w="90" w:type="dxa"/>
            </w:tcMar>
          </w:tcPr>
          <w:p>
            <w:pPr>
              <w:spacing w:after="0"/>
            </w:pPr>
            <w:r>
              <w:rPr>
                <w:sz w:val="16"/>
              </w:rPr>
              <w:t>Merge into ada-web-components</w:t>
            </w:r>
          </w:p>
        </w:tc>
      </w:tr>
      <w:tr>
        <w:trPr>
          <w:cantSplit/>
        </w:trPr>
        <w:tc>
          <w:tcPr>
            <w:tcW w:type="dxa" w:w="2880"/>
            <w:shd w:fill="F5F7F9"/>
            <w:vAlign w:val="top"/>
            <w:tcMar>
              <w:top w:w="70" w:type="dxa"/>
              <w:start w:w="90" w:type="dxa"/>
              <w:bottom w:w="70" w:type="dxa"/>
              <w:end w:w="90" w:type="dxa"/>
            </w:tcMar>
          </w:tcPr>
          <w:p>
            <w:pPr>
              <w:spacing w:after="0"/>
            </w:pPr>
            <w:r>
              <w:rPr>
                <w:sz w:val="16"/>
              </w:rPr>
              <w:t>component-delivery</w:t>
            </w:r>
          </w:p>
        </w:tc>
        <w:tc>
          <w:tcPr>
            <w:tcW w:type="dxa" w:w="1728"/>
            <w:shd w:fill="F5F7F9"/>
            <w:vAlign w:val="top"/>
            <w:tcMar>
              <w:top w:w="70" w:type="dxa"/>
              <w:start w:w="90" w:type="dxa"/>
              <w:bottom w:w="70" w:type="dxa"/>
              <w:end w:w="90" w:type="dxa"/>
            </w:tcMar>
          </w:tcPr>
          <w:p>
            <w:pPr>
              <w:spacing w:after="0"/>
            </w:pPr>
            <w:r>
              <w:rPr>
                <w:sz w:val="16"/>
              </w:rPr>
              <w:t>components</w:t>
            </w:r>
          </w:p>
        </w:tc>
        <w:tc>
          <w:tcPr>
            <w:tcW w:type="dxa" w:w="3312"/>
            <w:shd w:fill="F5F7F9"/>
            <w:vAlign w:val="top"/>
            <w:tcMar>
              <w:top w:w="70" w:type="dxa"/>
              <w:start w:w="90" w:type="dxa"/>
              <w:bottom w:w="70" w:type="dxa"/>
              <w:end w:w="90" w:type="dxa"/>
            </w:tcMar>
          </w:tcPr>
          <w:p>
            <w:pPr>
              <w:spacing w:after="0"/>
            </w:pPr>
            <w:r>
              <w:rPr>
                <w:sz w:val="16"/>
              </w:rPr>
              <w:t>components/delivery</w:t>
            </w:r>
          </w:p>
        </w:tc>
        <w:tc>
          <w:tcPr>
            <w:tcW w:type="dxa" w:w="2880"/>
            <w:shd w:fill="F5F7F9"/>
            <w:vAlign w:val="top"/>
            <w:tcMar>
              <w:top w:w="70" w:type="dxa"/>
              <w:start w:w="90" w:type="dxa"/>
              <w:bottom w:w="70" w:type="dxa"/>
              <w:end w:w="90" w:type="dxa"/>
            </w:tcMar>
          </w:tcPr>
          <w:p>
            <w:pPr>
              <w:spacing w:after="0"/>
            </w:pPr>
            <w:r>
              <w:rPr>
                <w:sz w:val="16"/>
              </w:rPr>
              <w:t>Merge into ada-web-components</w:t>
            </w:r>
          </w:p>
        </w:tc>
      </w:tr>
      <w:tr>
        <w:trPr>
          <w:cantSplit/>
        </w:trPr>
        <w:tc>
          <w:tcPr>
            <w:tcW w:type="dxa" w:w="2880"/>
            <w:vAlign w:val="top"/>
            <w:tcMar>
              <w:top w:w="70" w:type="dxa"/>
              <w:start w:w="90" w:type="dxa"/>
              <w:bottom w:w="70" w:type="dxa"/>
              <w:end w:w="90" w:type="dxa"/>
            </w:tcMar>
          </w:tcPr>
          <w:p>
            <w:pPr>
              <w:spacing w:after="0"/>
            </w:pPr>
            <w:r>
              <w:rPr>
                <w:sz w:val="16"/>
              </w:rPr>
              <w:t>operational-render-binding</w:t>
            </w:r>
          </w:p>
        </w:tc>
        <w:tc>
          <w:tcPr>
            <w:tcW w:type="dxa" w:w="1728"/>
            <w:vAlign w:val="top"/>
            <w:tcMar>
              <w:top w:w="70" w:type="dxa"/>
              <w:start w:w="90" w:type="dxa"/>
              <w:bottom w:w="70" w:type="dxa"/>
              <w:end w:w="90" w:type="dxa"/>
            </w:tcMar>
          </w:tcPr>
          <w:p>
            <w:pPr>
              <w:spacing w:after="0"/>
            </w:pPr>
            <w:r>
              <w:rPr>
                <w:sz w:val="16"/>
              </w:rPr>
              <w:t>components</w:t>
            </w:r>
          </w:p>
        </w:tc>
        <w:tc>
          <w:tcPr>
            <w:tcW w:type="dxa" w:w="3312"/>
            <w:vAlign w:val="top"/>
            <w:tcMar>
              <w:top w:w="70" w:type="dxa"/>
              <w:start w:w="90" w:type="dxa"/>
              <w:bottom w:w="70" w:type="dxa"/>
              <w:end w:w="90" w:type="dxa"/>
            </w:tcMar>
          </w:tcPr>
          <w:p>
            <w:pPr>
              <w:spacing w:after="0"/>
            </w:pPr>
            <w:r>
              <w:rPr>
                <w:sz w:val="16"/>
              </w:rPr>
              <w:t>components/render_binding</w:t>
            </w:r>
          </w:p>
        </w:tc>
        <w:tc>
          <w:tcPr>
            <w:tcW w:type="dxa" w:w="2880"/>
            <w:vAlign w:val="top"/>
            <w:tcMar>
              <w:top w:w="70" w:type="dxa"/>
              <w:start w:w="90" w:type="dxa"/>
              <w:bottom w:w="70" w:type="dxa"/>
              <w:end w:w="90" w:type="dxa"/>
            </w:tcMar>
          </w:tcPr>
          <w:p>
            <w:pPr>
              <w:spacing w:after="0"/>
            </w:pPr>
            <w:r>
              <w:rPr>
                <w:sz w:val="16"/>
              </w:rPr>
              <w:t>Merge unless audit finds a hard boundary</w:t>
            </w:r>
          </w:p>
        </w:tc>
      </w:tr>
      <w:tr>
        <w:trPr>
          <w:cantSplit/>
        </w:trPr>
        <w:tc>
          <w:tcPr>
            <w:tcW w:type="dxa" w:w="2880"/>
            <w:shd w:fill="F5F7F9"/>
            <w:vAlign w:val="top"/>
            <w:tcMar>
              <w:top w:w="70" w:type="dxa"/>
              <w:start w:w="90" w:type="dxa"/>
              <w:bottom w:w="70" w:type="dxa"/>
              <w:end w:w="90" w:type="dxa"/>
            </w:tcMar>
          </w:tcPr>
          <w:p>
            <w:pPr>
              <w:spacing w:after="0"/>
            </w:pPr>
            <w:r>
              <w:rPr>
                <w:sz w:val="16"/>
              </w:rPr>
              <w:t>content-state/core</w:t>
            </w:r>
          </w:p>
        </w:tc>
        <w:tc>
          <w:tcPr>
            <w:tcW w:type="dxa" w:w="1728"/>
            <w:shd w:fill="F5F7F9"/>
            <w:vAlign w:val="top"/>
            <w:tcMar>
              <w:top w:w="70" w:type="dxa"/>
              <w:start w:w="90" w:type="dxa"/>
              <w:bottom w:w="70" w:type="dxa"/>
              <w:end w:w="90" w:type="dxa"/>
            </w:tcMar>
          </w:tcPr>
          <w:p>
            <w:pPr>
              <w:spacing w:after="0"/>
            </w:pPr>
            <w:r>
              <w:rPr>
                <w:sz w:val="16"/>
              </w:rPr>
              <w:t>content-state</w:t>
            </w:r>
          </w:p>
        </w:tc>
        <w:tc>
          <w:tcPr>
            <w:tcW w:type="dxa" w:w="3312"/>
            <w:shd w:fill="F5F7F9"/>
            <w:vAlign w:val="top"/>
            <w:tcMar>
              <w:top w:w="70" w:type="dxa"/>
              <w:start w:w="90" w:type="dxa"/>
              <w:bottom w:w="70" w:type="dxa"/>
              <w:end w:w="90" w:type="dxa"/>
            </w:tcMar>
          </w:tcPr>
          <w:p>
            <w:pPr>
              <w:spacing w:after="0"/>
            </w:pPr>
            <w:r>
              <w:rPr>
                <w:sz w:val="16"/>
              </w:rPr>
              <w:t>content-state/contracts + policies</w:t>
            </w:r>
          </w:p>
        </w:tc>
        <w:tc>
          <w:tcPr>
            <w:tcW w:type="dxa" w:w="2880"/>
            <w:shd w:fill="F5F7F9"/>
            <w:vAlign w:val="top"/>
            <w:tcMar>
              <w:top w:w="70" w:type="dxa"/>
              <w:start w:w="90" w:type="dxa"/>
              <w:bottom w:w="70" w:type="dxa"/>
              <w:end w:w="90" w:type="dxa"/>
            </w:tcMar>
          </w:tcPr>
          <w:p>
            <w:pPr>
              <w:spacing w:after="0"/>
            </w:pPr>
            <w:r>
              <w:rPr>
                <w:sz w:val="16"/>
              </w:rPr>
              <w:t>Merge</w:t>
            </w:r>
          </w:p>
        </w:tc>
      </w:tr>
      <w:tr>
        <w:trPr>
          <w:cantSplit/>
        </w:trPr>
        <w:tc>
          <w:tcPr>
            <w:tcW w:type="dxa" w:w="2880"/>
            <w:vAlign w:val="top"/>
            <w:tcMar>
              <w:top w:w="70" w:type="dxa"/>
              <w:start w:w="90" w:type="dxa"/>
              <w:bottom w:w="70" w:type="dxa"/>
              <w:end w:w="90" w:type="dxa"/>
            </w:tcMar>
          </w:tcPr>
          <w:p>
            <w:pPr>
              <w:spacing w:after="0"/>
            </w:pPr>
            <w:r>
              <w:rPr>
                <w:sz w:val="16"/>
              </w:rPr>
              <w:t>content-state/dependency-resolver</w:t>
            </w:r>
          </w:p>
        </w:tc>
        <w:tc>
          <w:tcPr>
            <w:tcW w:type="dxa" w:w="1728"/>
            <w:vAlign w:val="top"/>
            <w:tcMar>
              <w:top w:w="70" w:type="dxa"/>
              <w:start w:w="90" w:type="dxa"/>
              <w:bottom w:w="70" w:type="dxa"/>
              <w:end w:w="90" w:type="dxa"/>
            </w:tcMar>
          </w:tcPr>
          <w:p>
            <w:pPr>
              <w:spacing w:after="0"/>
            </w:pPr>
            <w:r>
              <w:rPr>
                <w:sz w:val="16"/>
              </w:rPr>
              <w:t>content-state</w:t>
            </w:r>
          </w:p>
        </w:tc>
        <w:tc>
          <w:tcPr>
            <w:tcW w:type="dxa" w:w="3312"/>
            <w:vAlign w:val="top"/>
            <w:tcMar>
              <w:top w:w="70" w:type="dxa"/>
              <w:start w:w="90" w:type="dxa"/>
              <w:bottom w:w="70" w:type="dxa"/>
              <w:end w:w="90" w:type="dxa"/>
            </w:tcMar>
          </w:tcPr>
          <w:p>
            <w:pPr>
              <w:spacing w:after="0"/>
            </w:pPr>
            <w:r>
              <w:rPr>
                <w:sz w:val="16"/>
              </w:rPr>
              <w:t>content-state/dependency_resolver</w:t>
            </w:r>
          </w:p>
        </w:tc>
        <w:tc>
          <w:tcPr>
            <w:tcW w:type="dxa" w:w="2880"/>
            <w:vAlign w:val="top"/>
            <w:tcMar>
              <w:top w:w="70" w:type="dxa"/>
              <w:start w:w="90" w:type="dxa"/>
              <w:bottom w:w="70" w:type="dxa"/>
              <w:end w:w="90" w:type="dxa"/>
            </w:tcMar>
          </w:tcPr>
          <w:p>
            <w:pPr>
              <w:spacing w:after="0"/>
            </w:pPr>
            <w:r>
              <w:rPr>
                <w:sz w:val="16"/>
              </w:rPr>
              <w:t>Merge</w:t>
            </w:r>
          </w:p>
        </w:tc>
      </w:tr>
      <w:tr>
        <w:trPr>
          <w:cantSplit/>
        </w:trPr>
        <w:tc>
          <w:tcPr>
            <w:tcW w:type="dxa" w:w="2880"/>
            <w:shd w:fill="F5F7F9"/>
            <w:vAlign w:val="top"/>
            <w:tcMar>
              <w:top w:w="70" w:type="dxa"/>
              <w:start w:w="90" w:type="dxa"/>
              <w:bottom w:w="70" w:type="dxa"/>
              <w:end w:w="90" w:type="dxa"/>
            </w:tcMar>
          </w:tcPr>
          <w:p>
            <w:pPr>
              <w:spacing w:after="0"/>
            </w:pPr>
            <w:r>
              <w:rPr>
                <w:sz w:val="16"/>
              </w:rPr>
              <w:t>inspection/*</w:t>
            </w:r>
          </w:p>
        </w:tc>
        <w:tc>
          <w:tcPr>
            <w:tcW w:type="dxa" w:w="1728"/>
            <w:shd w:fill="F5F7F9"/>
            <w:vAlign w:val="top"/>
            <w:tcMar>
              <w:top w:w="70" w:type="dxa"/>
              <w:start w:w="90" w:type="dxa"/>
              <w:bottom w:w="70" w:type="dxa"/>
              <w:end w:w="90" w:type="dxa"/>
            </w:tcMar>
          </w:tcPr>
          <w:p>
            <w:pPr>
              <w:spacing w:after="0"/>
            </w:pPr>
            <w:r>
              <w:rPr>
                <w:sz w:val="16"/>
              </w:rPr>
              <w:t>inspection</w:t>
            </w:r>
          </w:p>
        </w:tc>
        <w:tc>
          <w:tcPr>
            <w:tcW w:type="dxa" w:w="3312"/>
            <w:shd w:fill="F5F7F9"/>
            <w:vAlign w:val="top"/>
            <w:tcMar>
              <w:top w:w="70" w:type="dxa"/>
              <w:start w:w="90" w:type="dxa"/>
              <w:bottom w:w="70" w:type="dxa"/>
              <w:end w:w="90" w:type="dxa"/>
            </w:tcMar>
          </w:tcPr>
          <w:p>
            <w:pPr>
              <w:spacing w:after="0"/>
            </w:pPr>
            <w:r>
              <w:rPr>
                <w:sz w:val="16"/>
              </w:rPr>
              <w:t>inspection internal modules</w:t>
            </w:r>
          </w:p>
        </w:tc>
        <w:tc>
          <w:tcPr>
            <w:tcW w:type="dxa" w:w="2880"/>
            <w:shd w:fill="F5F7F9"/>
            <w:vAlign w:val="top"/>
            <w:tcMar>
              <w:top w:w="70" w:type="dxa"/>
              <w:start w:w="90" w:type="dxa"/>
              <w:bottom w:w="70" w:type="dxa"/>
              <w:end w:w="90" w:type="dxa"/>
            </w:tcMar>
          </w:tcPr>
          <w:p>
            <w:pPr>
              <w:spacing w:after="0"/>
            </w:pPr>
            <w:r>
              <w:rPr>
                <w:sz w:val="16"/>
              </w:rPr>
              <w:t>Strong consolidation; likely one wheel</w:t>
            </w:r>
          </w:p>
        </w:tc>
      </w:tr>
      <w:tr>
        <w:trPr>
          <w:cantSplit/>
        </w:trPr>
        <w:tc>
          <w:tcPr>
            <w:tcW w:type="dxa" w:w="2880"/>
            <w:vAlign w:val="top"/>
            <w:tcMar>
              <w:top w:w="70" w:type="dxa"/>
              <w:start w:w="90" w:type="dxa"/>
              <w:bottom w:w="70" w:type="dxa"/>
              <w:end w:w="90" w:type="dxa"/>
            </w:tcMar>
          </w:tcPr>
          <w:p>
            <w:pPr>
              <w:spacing w:after="0"/>
            </w:pPr>
            <w:r>
              <w:rPr>
                <w:sz w:val="16"/>
              </w:rPr>
              <w:t>operational-state</w:t>
            </w:r>
          </w:p>
        </w:tc>
        <w:tc>
          <w:tcPr>
            <w:tcW w:type="dxa" w:w="1728"/>
            <w:vAlign w:val="top"/>
            <w:tcMar>
              <w:top w:w="70" w:type="dxa"/>
              <w:start w:w="90" w:type="dxa"/>
              <w:bottom w:w="70" w:type="dxa"/>
              <w:end w:w="90" w:type="dxa"/>
            </w:tcMar>
          </w:tcPr>
          <w:p>
            <w:pPr>
              <w:spacing w:after="0"/>
            </w:pPr>
            <w:r>
              <w:rPr>
                <w:sz w:val="16"/>
              </w:rPr>
              <w:t>operational</w:t>
            </w:r>
          </w:p>
        </w:tc>
        <w:tc>
          <w:tcPr>
            <w:tcW w:type="dxa" w:w="3312"/>
            <w:vAlign w:val="top"/>
            <w:tcMar>
              <w:top w:w="70" w:type="dxa"/>
              <w:start w:w="90" w:type="dxa"/>
              <w:bottom w:w="70" w:type="dxa"/>
              <w:end w:w="90" w:type="dxa"/>
            </w:tcMar>
          </w:tcPr>
          <w:p>
            <w:pPr>
              <w:spacing w:after="0"/>
            </w:pPr>
            <w:r>
              <w:rPr>
                <w:sz w:val="16"/>
              </w:rPr>
              <w:t>operational/state</w:t>
            </w:r>
          </w:p>
        </w:tc>
        <w:tc>
          <w:tcPr>
            <w:tcW w:type="dxa" w:w="2880"/>
            <w:vAlign w:val="top"/>
            <w:tcMar>
              <w:top w:w="70" w:type="dxa"/>
              <w:start w:w="90" w:type="dxa"/>
              <w:bottom w:w="70" w:type="dxa"/>
              <w:end w:w="90" w:type="dxa"/>
            </w:tcMar>
          </w:tcPr>
          <w:p>
            <w:pPr>
              <w:spacing w:after="0"/>
            </w:pPr>
            <w:r>
              <w:rPr>
                <w:sz w:val="16"/>
              </w:rPr>
              <w:t>Likely justified independent wheel</w:t>
            </w:r>
          </w:p>
        </w:tc>
      </w:tr>
      <w:tr>
        <w:trPr>
          <w:cantSplit/>
        </w:trPr>
        <w:tc>
          <w:tcPr>
            <w:tcW w:type="dxa" w:w="2880"/>
            <w:shd w:fill="F5F7F9"/>
            <w:vAlign w:val="top"/>
            <w:tcMar>
              <w:top w:w="70" w:type="dxa"/>
              <w:start w:w="90" w:type="dxa"/>
              <w:bottom w:w="70" w:type="dxa"/>
              <w:end w:w="90" w:type="dxa"/>
            </w:tcMar>
          </w:tcPr>
          <w:p>
            <w:pPr>
              <w:spacing w:after="0"/>
            </w:pPr>
            <w:r>
              <w:rPr>
                <w:sz w:val="16"/>
              </w:rPr>
              <w:t>runtime-experience</w:t>
            </w:r>
          </w:p>
        </w:tc>
        <w:tc>
          <w:tcPr>
            <w:tcW w:type="dxa" w:w="1728"/>
            <w:shd w:fill="F5F7F9"/>
            <w:vAlign w:val="top"/>
            <w:tcMar>
              <w:top w:w="70" w:type="dxa"/>
              <w:start w:w="90" w:type="dxa"/>
              <w:bottom w:w="70" w:type="dxa"/>
              <w:end w:w="90" w:type="dxa"/>
            </w:tcMar>
          </w:tcPr>
          <w:p>
            <w:pPr>
              <w:spacing w:after="0"/>
            </w:pPr>
            <w:r>
              <w:rPr>
                <w:sz w:val="16"/>
              </w:rPr>
              <w:t>TBD</w:t>
            </w:r>
          </w:p>
        </w:tc>
        <w:tc>
          <w:tcPr>
            <w:tcW w:type="dxa" w:w="3312"/>
            <w:shd w:fill="F5F7F9"/>
            <w:vAlign w:val="top"/>
            <w:tcMar>
              <w:top w:w="70" w:type="dxa"/>
              <w:start w:w="90" w:type="dxa"/>
              <w:bottom w:w="70" w:type="dxa"/>
              <w:end w:w="90" w:type="dxa"/>
            </w:tcMar>
          </w:tcPr>
          <w:p>
            <w:pPr>
              <w:spacing w:after="0"/>
            </w:pPr>
            <w:r>
              <w:rPr>
                <w:sz w:val="16"/>
              </w:rPr>
              <w:t>Audit for Atlanticus promotion vs ADA ownership</w:t>
            </w:r>
          </w:p>
        </w:tc>
        <w:tc>
          <w:tcPr>
            <w:tcW w:type="dxa" w:w="2880"/>
            <w:shd w:fill="F5F7F9"/>
            <w:vAlign w:val="top"/>
            <w:tcMar>
              <w:top w:w="70" w:type="dxa"/>
              <w:start w:w="90" w:type="dxa"/>
              <w:bottom w:w="70" w:type="dxa"/>
              <w:end w:w="90" w:type="dxa"/>
            </w:tcMar>
          </w:tcPr>
          <w:p>
            <w:pPr>
              <w:spacing w:after="0"/>
            </w:pPr>
            <w:r>
              <w:rPr>
                <w:sz w:val="16"/>
              </w:rPr>
              <w:t>No move until classification</w:t>
            </w:r>
          </w:p>
        </w:tc>
      </w:tr>
      <w:tr>
        <w:trPr>
          <w:cantSplit/>
        </w:trPr>
        <w:tc>
          <w:tcPr>
            <w:tcW w:type="dxa" w:w="2880"/>
            <w:vAlign w:val="top"/>
            <w:tcMar>
              <w:top w:w="70" w:type="dxa"/>
              <w:start w:w="90" w:type="dxa"/>
              <w:bottom w:w="70" w:type="dxa"/>
              <w:end w:w="90" w:type="dxa"/>
            </w:tcMar>
          </w:tcPr>
          <w:p>
            <w:pPr>
              <w:spacing w:after="0"/>
            </w:pPr>
            <w:r>
              <w:rPr>
                <w:sz w:val="16"/>
              </w:rPr>
              <w:t>time-status/store-adapter</w:t>
            </w:r>
          </w:p>
        </w:tc>
        <w:tc>
          <w:tcPr>
            <w:tcW w:type="dxa" w:w="1728"/>
            <w:vAlign w:val="top"/>
            <w:tcMar>
              <w:top w:w="70" w:type="dxa"/>
              <w:start w:w="90" w:type="dxa"/>
              <w:bottom w:w="70" w:type="dxa"/>
              <w:end w:w="90" w:type="dxa"/>
            </w:tcMar>
          </w:tcPr>
          <w:p>
            <w:pPr>
              <w:spacing w:after="0"/>
            </w:pPr>
            <w:r>
              <w:rPr>
                <w:sz w:val="16"/>
              </w:rPr>
              <w:t>time-status</w:t>
            </w:r>
          </w:p>
        </w:tc>
        <w:tc>
          <w:tcPr>
            <w:tcW w:type="dxa" w:w="3312"/>
            <w:vAlign w:val="top"/>
            <w:tcMar>
              <w:top w:w="70" w:type="dxa"/>
              <w:start w:w="90" w:type="dxa"/>
              <w:bottom w:w="70" w:type="dxa"/>
              <w:end w:w="90" w:type="dxa"/>
            </w:tcMar>
          </w:tcPr>
          <w:p>
            <w:pPr>
              <w:spacing w:after="0"/>
            </w:pPr>
            <w:r>
              <w:rPr>
                <w:sz w:val="16"/>
              </w:rPr>
              <w:t>time-status/store_adapter</w:t>
            </w:r>
          </w:p>
        </w:tc>
        <w:tc>
          <w:tcPr>
            <w:tcW w:type="dxa" w:w="2880"/>
            <w:vAlign w:val="top"/>
            <w:tcMar>
              <w:top w:w="70" w:type="dxa"/>
              <w:start w:w="90" w:type="dxa"/>
              <w:bottom w:w="70" w:type="dxa"/>
              <w:end w:w="90" w:type="dxa"/>
            </w:tcMar>
          </w:tcPr>
          <w:p>
            <w:pPr>
              <w:spacing w:after="0"/>
            </w:pPr>
            <w:r>
              <w:rPr>
                <w:sz w:val="16"/>
              </w:rPr>
              <w:t>Merge with Time Status capability</w:t>
            </w:r>
          </w:p>
        </w:tc>
      </w:tr>
      <w:tr>
        <w:trPr>
          <w:cantSplit/>
        </w:trPr>
        <w:tc>
          <w:tcPr>
            <w:tcW w:type="dxa" w:w="2880"/>
            <w:shd w:fill="F5F7F9"/>
            <w:vAlign w:val="top"/>
            <w:tcMar>
              <w:top w:w="70" w:type="dxa"/>
              <w:start w:w="90" w:type="dxa"/>
              <w:bottom w:w="70" w:type="dxa"/>
              <w:end w:w="90" w:type="dxa"/>
            </w:tcMar>
          </w:tcPr>
          <w:p>
            <w:pPr>
              <w:spacing w:after="0"/>
            </w:pPr>
            <w:r>
              <w:rPr>
                <w:sz w:val="16"/>
              </w:rPr>
              <w:t>ui/time-status</w:t>
            </w:r>
          </w:p>
        </w:tc>
        <w:tc>
          <w:tcPr>
            <w:tcW w:type="dxa" w:w="1728"/>
            <w:shd w:fill="F5F7F9"/>
            <w:vAlign w:val="top"/>
            <w:tcMar>
              <w:top w:w="70" w:type="dxa"/>
              <w:start w:w="90" w:type="dxa"/>
              <w:bottom w:w="70" w:type="dxa"/>
              <w:end w:w="90" w:type="dxa"/>
            </w:tcMar>
          </w:tcPr>
          <w:p>
            <w:pPr>
              <w:spacing w:after="0"/>
            </w:pPr>
            <w:r>
              <w:rPr>
                <w:sz w:val="16"/>
              </w:rPr>
              <w:t>time-status</w:t>
            </w:r>
          </w:p>
        </w:tc>
        <w:tc>
          <w:tcPr>
            <w:tcW w:type="dxa" w:w="3312"/>
            <w:shd w:fill="F5F7F9"/>
            <w:vAlign w:val="top"/>
            <w:tcMar>
              <w:top w:w="70" w:type="dxa"/>
              <w:start w:w="90" w:type="dxa"/>
              <w:bottom w:w="70" w:type="dxa"/>
              <w:end w:w="90" w:type="dxa"/>
            </w:tcMar>
          </w:tcPr>
          <w:p>
            <w:pPr>
              <w:spacing w:after="0"/>
            </w:pPr>
            <w:r>
              <w:rPr>
                <w:sz w:val="16"/>
              </w:rPr>
              <w:t>time-status/web</w:t>
            </w:r>
          </w:p>
        </w:tc>
        <w:tc>
          <w:tcPr>
            <w:tcW w:type="dxa" w:w="2880"/>
            <w:shd w:fill="F5F7F9"/>
            <w:vAlign w:val="top"/>
            <w:tcMar>
              <w:top w:w="70" w:type="dxa"/>
              <w:start w:w="90" w:type="dxa"/>
              <w:bottom w:w="70" w:type="dxa"/>
              <w:end w:w="90" w:type="dxa"/>
            </w:tcMar>
          </w:tcPr>
          <w:p>
            <w:pPr>
              <w:spacing w:after="0"/>
            </w:pPr>
            <w:r>
              <w:rPr>
                <w:sz w:val="16"/>
              </w:rPr>
              <w:t>Move to domain</w:t>
            </w:r>
          </w:p>
        </w:tc>
      </w:tr>
      <w:tr>
        <w:trPr>
          <w:cantSplit/>
        </w:trPr>
        <w:tc>
          <w:tcPr>
            <w:tcW w:type="dxa" w:w="2880"/>
            <w:vAlign w:val="top"/>
            <w:tcMar>
              <w:top w:w="70" w:type="dxa"/>
              <w:start w:w="90" w:type="dxa"/>
              <w:bottom w:w="70" w:type="dxa"/>
              <w:end w:w="90" w:type="dxa"/>
            </w:tcMar>
          </w:tcPr>
          <w:p>
            <w:pPr>
              <w:spacing w:after="0"/>
            </w:pPr>
            <w:r>
              <w:rPr>
                <w:sz w:val="16"/>
              </w:rPr>
              <w:t>configuration/branding + ui/branding</w:t>
            </w:r>
          </w:p>
        </w:tc>
        <w:tc>
          <w:tcPr>
            <w:tcW w:type="dxa" w:w="1728"/>
            <w:vAlign w:val="top"/>
            <w:tcMar>
              <w:top w:w="70" w:type="dxa"/>
              <w:start w:w="90" w:type="dxa"/>
              <w:bottom w:w="70" w:type="dxa"/>
              <w:end w:w="90" w:type="dxa"/>
            </w:tcMar>
          </w:tcPr>
          <w:p>
            <w:pPr>
              <w:spacing w:after="0"/>
            </w:pPr>
            <w:r>
              <w:rPr>
                <w:sz w:val="16"/>
              </w:rPr>
              <w:t>branding</w:t>
            </w:r>
          </w:p>
        </w:tc>
        <w:tc>
          <w:tcPr>
            <w:tcW w:type="dxa" w:w="3312"/>
            <w:vAlign w:val="top"/>
            <w:tcMar>
              <w:top w:w="70" w:type="dxa"/>
              <w:start w:w="90" w:type="dxa"/>
              <w:bottom w:w="70" w:type="dxa"/>
              <w:end w:w="90" w:type="dxa"/>
            </w:tcMar>
          </w:tcPr>
          <w:p>
            <w:pPr>
              <w:spacing w:after="0"/>
            </w:pPr>
            <w:r>
              <w:rPr>
                <w:sz w:val="16"/>
              </w:rPr>
              <w:t>branding config + resolver + web + resources</w:t>
            </w:r>
          </w:p>
        </w:tc>
        <w:tc>
          <w:tcPr>
            <w:tcW w:type="dxa" w:w="2880"/>
            <w:vAlign w:val="top"/>
            <w:tcMar>
              <w:top w:w="70" w:type="dxa"/>
              <w:start w:w="90" w:type="dxa"/>
              <w:bottom w:w="70" w:type="dxa"/>
              <w:end w:w="90" w:type="dxa"/>
            </w:tcMar>
          </w:tcPr>
          <w:p>
            <w:pPr>
              <w:spacing w:after="0"/>
            </w:pPr>
            <w:r>
              <w:rPr>
                <w:sz w:val="16"/>
              </w:rPr>
              <w:t>Merge into one capability wheel</w:t>
            </w:r>
          </w:p>
        </w:tc>
      </w:tr>
    </w:tbl>
    <w:p/>
    <w:p>
      <w:pPr>
        <w:pStyle w:val="Heading1"/>
      </w:pPr>
      <w:r>
        <w:t>5. Detailed migration strategy by capability</w:t>
      </w:r>
    </w:p>
    <w:p>
      <w:pPr>
        <w:pStyle w:val="Heading2"/>
      </w:pPr>
      <w:r>
        <w:t>5.1 Tools</w:t>
      </w:r>
    </w:p>
    <w:p>
      <w:pPr>
        <w:pStyle w:val="CodeBlock"/>
        <w:keepLines/>
        <w:shd w:fill="F5F7F9"/>
      </w:pPr>
      <w:r>
        <w:rPr>
          <w:rFonts w:ascii="Cascadia Mono" w:hAnsi="Cascadia Mono"/>
          <w:sz w:val="17"/>
        </w:rPr>
        <w:t>tools/</w:t>
        <w:br/>
        <w:t>├── core/</w:t>
        <w:br/>
        <w:t>│   ├── identity</w:t>
        <w:br/>
        <w:t>│   ├── models</w:t>
        <w:br/>
        <w:t>│   ├── structure</w:t>
        <w:br/>
        <w:t>│   ├── source_consumption</w:t>
        <w:br/>
        <w:t>│   ├── operational_participation</w:t>
        <w:br/>
        <w:t>│   └── validation</w:t>
        <w:br/>
        <w:t>└── configuration/</w:t>
        <w:br/>
        <w:t xml:space="preserve">    ├── bundle</w:t>
        <w:br/>
        <w:t xml:space="preserve">    ├── contracts</w:t>
        <w:br/>
        <w:t xml:space="preserve">    ├── source</w:t>
        <w:br/>
        <w:t xml:space="preserve">    ├── lifecycle</w:t>
        <w:br/>
        <w:t xml:space="preserve">    ├── projection</w:t>
        <w:br/>
        <w:t xml:space="preserve">    ├── services</w:t>
        <w:br/>
        <w:t xml:space="preserve">    ├── adapters/</w:t>
        <w:br/>
        <w:t xml:space="preserve">    ├── web/</w:t>
        <w:br/>
        <w:t xml:space="preserve">    └── resources/</w:t>
      </w:r>
    </w:p>
    <w:p>
      <w:pPr>
        <w:pStyle w:val="ListBullet"/>
        <w:spacing w:after="40"/>
      </w:pPr>
      <w:r>
        <w:t>Tool identity and structure remain canonical and behaviorally unchanged.</w:t>
      </w:r>
    </w:p>
    <w:p>
      <w:pPr>
        <w:pStyle w:val="ListBullet"/>
        <w:spacing w:after="40"/>
      </w:pPr>
      <w:r>
        <w:t>`tool-sources` becomes part of Tool core because those contracts describe Tool source consumption/participation.</w:t>
      </w:r>
    </w:p>
    <w:p>
      <w:pPr>
        <w:pStyle w:val="ListBullet"/>
        <w:spacing w:after="40"/>
      </w:pPr>
      <w:r>
        <w:t>`tools-lifecycle` moves into `tools/configuration`.</w:t>
      </w:r>
    </w:p>
    <w:p>
      <w:pPr>
        <w:pStyle w:val="ListBullet"/>
        <w:spacing w:after="40"/>
      </w:pPr>
      <w:r>
        <w:t>`tool-editor` moves into `tools/configuration/web`.</w:t>
      </w:r>
    </w:p>
    <w:p>
      <w:pPr>
        <w:pStyle w:val="ListBullet"/>
        <w:spacing w:after="40"/>
      </w:pPr>
      <w:r>
        <w:t>Web dependencies should be optional where the package can be consumed headlessly.</w:t>
      </w:r>
    </w:p>
    <w:p>
      <w:pPr>
        <w:pStyle w:val="ListBullet"/>
        <w:spacing w:after="40"/>
      </w:pPr>
      <w:r>
        <w:t>The ADA Configuration Manager remains a host/composer only.</w:t>
      </w:r>
    </w:p>
    <w:p>
      <w:pPr>
        <w:pStyle w:val="Heading2"/>
      </w:pPr>
      <w:r>
        <w:t>5.2 Components</w:t>
      </w:r>
    </w:p>
    <w:p>
      <w:pPr>
        <w:pStyle w:val="CodeBlock"/>
        <w:keepLines/>
        <w:shd w:fill="F5F7F9"/>
      </w:pPr>
      <w:r>
        <w:rPr>
          <w:rFonts w:ascii="Cascadia Mono" w:hAnsi="Cascadia Mono"/>
          <w:sz w:val="17"/>
        </w:rPr>
        <w:t>components/</w:t>
        <w:br/>
        <w:t>├── store/</w:t>
        <w:br/>
        <w:t>├── delivery/</w:t>
        <w:br/>
        <w:t>└── render_binding/</w:t>
      </w:r>
    </w:p>
    <w:p>
      <w:r>
        <w:t>Component Store, Component Delivery, and Operational Render Binding form one cohesive capability chain around the same Tool/Component identities. The initial target is a single `ada-web-components` wheel with internal modules.</w:t>
      </w:r>
    </w:p>
    <w:tbl>
      <w:tblPr>
        <w:tblW w:type="auto" w:w="0"/>
        <w:jc w:val="center"/>
        <w:tblLook w:firstColumn="1" w:firstRow="1" w:lastColumn="0" w:lastRow="0" w:noHBand="0" w:noVBand="1" w:val="04A0"/>
      </w:tblPr>
      <w:tblGrid>
        <w:gridCol w:w="10166"/>
      </w:tblGrid>
      <w:tr>
        <w:trPr>
          <w:tblHeader w:val="true"/>
          <w:cantSplit/>
        </w:trPr>
        <w:tc>
          <w:tcPr>
            <w:tcW w:type="dxa" w:w="10166"/>
            <w:shd w:fill="EEF8F0"/>
            <w:tcMar>
              <w:top w:w="120" w:type="dxa"/>
              <w:start w:w="150" w:type="dxa"/>
              <w:bottom w:w="120" w:type="dxa"/>
              <w:end w:w="150" w:type="dxa"/>
            </w:tcMar>
          </w:tcPr>
          <w:p>
            <w:r>
              <w:rPr>
                <w:b/>
                <w:color w:val="2E7D32"/>
                <w:sz w:val="20"/>
              </w:rPr>
              <w:t>Critical contract</w:t>
            </w:r>
          </w:p>
          <w:p>
            <w:pPr>
              <w:spacing w:after="0"/>
            </w:pPr>
            <w:r>
              <w:rPr>
                <w:sz w:val="18"/>
              </w:rPr>
              <w:t>No new store_id, delivery_id, collector_target_id, destination_id, or render_id is introduced for the same semantic component. Tool → component identity remains anchored in tool_key/component_key.</w:t>
            </w:r>
          </w:p>
        </w:tc>
      </w:tr>
    </w:tbl>
    <w:p/>
    <w:p>
      <w:pPr>
        <w:pStyle w:val="Heading2"/>
      </w:pPr>
      <w:r>
        <w:t>5.3 Content State</w:t>
      </w:r>
    </w:p>
    <w:p>
      <w:pPr>
        <w:pStyle w:val="CodeBlock"/>
        <w:keepLines/>
        <w:shd w:fill="F5F7F9"/>
      </w:pPr>
      <w:r>
        <w:rPr>
          <w:rFonts w:ascii="Cascadia Mono" w:hAnsi="Cascadia Mono"/>
          <w:sz w:val="17"/>
        </w:rPr>
        <w:t>content-state/</w:t>
        <w:br/>
        <w:t>├── contracts.py</w:t>
        <w:br/>
        <w:t>├── models.py</w:t>
        <w:br/>
        <w:t>├── policies.py</w:t>
        <w:br/>
        <w:t>└── dependency_resolver.py</w:t>
      </w:r>
    </w:p>
    <w:p>
      <w:r>
        <w:t>The dependency resolver remains a pure responsibility but no longer requires a separate release unit unless the migration audit proves independent reuse.</w:t>
      </w:r>
    </w:p>
    <w:p>
      <w:pPr>
        <w:pStyle w:val="Heading2"/>
      </w:pPr>
      <w:r>
        <w:t>5.4 Inspection</w:t>
      </w:r>
    </w:p>
    <w:p>
      <w:pPr>
        <w:pStyle w:val="CodeBlock"/>
        <w:keepLines/>
        <w:shd w:fill="F5F7F9"/>
      </w:pPr>
      <w:r>
        <w:rPr>
          <w:rFonts w:ascii="Cascadia Mono" w:hAnsi="Cascadia Mono"/>
          <w:sz w:val="17"/>
        </w:rPr>
        <w:t>inspection/</w:t>
        <w:br/>
        <w:t>├── core/</w:t>
        <w:br/>
        <w:t>├── api/</w:t>
        <w:br/>
        <w:t>├── providers/</w:t>
        <w:br/>
        <w:t>├── runtime/</w:t>
        <w:br/>
        <w:t>├── preview/</w:t>
        <w:br/>
        <w:t>├── surface/</w:t>
        <w:br/>
        <w:t>└── resilience/</w:t>
        <w:br/>
        <w:t xml:space="preserve">    ├── empty_definition.py</w:t>
        <w:br/>
        <w:t xml:space="preserve">    ├── interval.py</w:t>
        <w:br/>
        <w:t xml:space="preserve">    └── portability.py</w:t>
      </w:r>
    </w:p>
    <w:p>
      <w:r>
        <w:t>Inspection is the strongest consolidation candidate. The physical modules remain explicit, but separate pyproject/lock/version boundaries are removed where no independent package contract is required.</w:t>
      </w:r>
    </w:p>
    <w:p>
      <w:pPr>
        <w:pStyle w:val="Heading2"/>
      </w:pPr>
      <w:r>
        <w:t>5.5 Operational State</w:t>
      </w:r>
    </w:p>
    <w:p>
      <w:r>
        <w:t>Operational State remains a likely independent coordination capability because it composes multiple domains (Content State, Tool source participation, Time Status and UI state). It should move under `operational/state` without being merged blindly into any one input domain.</w:t>
      </w:r>
    </w:p>
    <w:p>
      <w:pPr>
        <w:pStyle w:val="Heading2"/>
      </w:pPr>
      <w:r>
        <w:t>5.6 Runtime Experience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4464"/>
            <w:shd w:fill="173A5E"/>
            <w:vAlign w:val="center"/>
            <w:tcMar>
              <w:top w:w="80" w:type="dxa"/>
              <w:start w:w="90" w:type="dxa"/>
              <w:bottom w:w="80" w:type="dxa"/>
              <w:end w:w="90" w:type="dxa"/>
            </w:tcMar>
          </w:tcPr>
          <w:p>
            <w:r>
              <w:rPr>
                <w:b/>
                <w:color w:val="FFFFFF"/>
                <w:sz w:val="17"/>
              </w:rPr>
              <w:t>Finding</w:t>
            </w:r>
          </w:p>
        </w:tc>
        <w:tc>
          <w:tcPr>
            <w:tcW w:type="dxa" w:w="5760"/>
            <w:shd w:fill="173A5E"/>
            <w:vAlign w:val="center"/>
            <w:tcMar>
              <w:top w:w="80" w:type="dxa"/>
              <w:start w:w="90" w:type="dxa"/>
              <w:bottom w:w="80" w:type="dxa"/>
              <w:end w:w="90" w:type="dxa"/>
            </w:tcMar>
          </w:tcPr>
          <w:p>
            <w:r>
              <w:rPr>
                <w:b/>
                <w:color w:val="FFFFFF"/>
                <w:sz w:val="17"/>
              </w:rPr>
              <w:t>Action</w:t>
            </w:r>
          </w:p>
        </w:tc>
      </w:tr>
      <w:tr>
        <w:trPr>
          <w:cantSplit/>
        </w:trPr>
        <w:tc>
          <w:tcPr>
            <w:tcW w:type="dxa" w:w="4464"/>
            <w:vAlign w:val="top"/>
            <w:tcMar>
              <w:top w:w="70" w:type="dxa"/>
              <w:start w:w="90" w:type="dxa"/>
              <w:bottom w:w="70" w:type="dxa"/>
              <w:end w:w="90" w:type="dxa"/>
            </w:tcMar>
          </w:tcPr>
          <w:p>
            <w:pPr>
              <w:spacing w:after="0"/>
            </w:pPr>
            <w:r>
              <w:rPr>
                <w:sz w:val="16"/>
              </w:rPr>
              <w:t>Fully generic browser/runtime behavior</w:t>
            </w:r>
          </w:p>
        </w:tc>
        <w:tc>
          <w:tcPr>
            <w:tcW w:type="dxa" w:w="5760"/>
            <w:vAlign w:val="top"/>
            <w:tcMar>
              <w:top w:w="70" w:type="dxa"/>
              <w:start w:w="90" w:type="dxa"/>
              <w:bottom w:w="70" w:type="dxa"/>
              <w:end w:w="90" w:type="dxa"/>
            </w:tcMar>
          </w:tcPr>
          <w:p>
            <w:pPr>
              <w:spacing w:after="0"/>
            </w:pPr>
            <w:r>
              <w:rPr>
                <w:sz w:val="16"/>
              </w:rPr>
              <w:t>Promote to Atlanticus Web framework/capability</w:t>
            </w:r>
          </w:p>
        </w:tc>
      </w:tr>
      <w:tr>
        <w:trPr>
          <w:cantSplit/>
        </w:trPr>
        <w:tc>
          <w:tcPr>
            <w:tcW w:type="dxa" w:w="4464"/>
            <w:shd w:fill="F5F7F9"/>
            <w:vAlign w:val="top"/>
            <w:tcMar>
              <w:top w:w="70" w:type="dxa"/>
              <w:start w:w="90" w:type="dxa"/>
              <w:bottom w:w="70" w:type="dxa"/>
              <w:end w:w="90" w:type="dxa"/>
            </w:tcMar>
          </w:tcPr>
          <w:p>
            <w:pPr>
              <w:spacing w:after="0"/>
            </w:pPr>
            <w:r>
              <w:rPr>
                <w:sz w:val="16"/>
              </w:rPr>
              <w:t>ADA-specific behavior</w:t>
            </w:r>
          </w:p>
        </w:tc>
        <w:tc>
          <w:tcPr>
            <w:tcW w:type="dxa" w:w="5760"/>
            <w:shd w:fill="F5F7F9"/>
            <w:vAlign w:val="top"/>
            <w:tcMar>
              <w:top w:w="70" w:type="dxa"/>
              <w:start w:w="90" w:type="dxa"/>
              <w:bottom w:w="70" w:type="dxa"/>
              <w:end w:w="90" w:type="dxa"/>
            </w:tcMar>
          </w:tcPr>
          <w:p>
            <w:pPr>
              <w:spacing w:after="0"/>
            </w:pPr>
            <w:r>
              <w:rPr>
                <w:sz w:val="16"/>
              </w:rPr>
              <w:t>Keep under ADA</w:t>
            </w:r>
          </w:p>
        </w:tc>
      </w:tr>
      <w:tr>
        <w:trPr>
          <w:cantSplit/>
        </w:trPr>
        <w:tc>
          <w:tcPr>
            <w:tcW w:type="dxa" w:w="4464"/>
            <w:vAlign w:val="top"/>
            <w:tcMar>
              <w:top w:w="70" w:type="dxa"/>
              <w:start w:w="90" w:type="dxa"/>
              <w:bottom w:w="70" w:type="dxa"/>
              <w:end w:w="90" w:type="dxa"/>
            </w:tcMar>
          </w:tcPr>
          <w:p>
            <w:pPr>
              <w:spacing w:after="0"/>
            </w:pPr>
            <w:r>
              <w:rPr>
                <w:sz w:val="16"/>
              </w:rPr>
              <w:t>Mixed</w:t>
            </w:r>
          </w:p>
        </w:tc>
        <w:tc>
          <w:tcPr>
            <w:tcW w:type="dxa" w:w="5760"/>
            <w:vAlign w:val="top"/>
            <w:tcMar>
              <w:top w:w="70" w:type="dxa"/>
              <w:start w:w="90" w:type="dxa"/>
              <w:bottom w:w="70" w:type="dxa"/>
              <w:end w:w="90" w:type="dxa"/>
            </w:tcMar>
          </w:tcPr>
          <w:p>
            <w:pPr>
              <w:spacing w:after="0"/>
            </w:pPr>
            <w:r>
              <w:rPr>
                <w:sz w:val="16"/>
              </w:rPr>
              <w:t>Split generic part from ADA-specific adapter/composition</w:t>
            </w:r>
          </w:p>
        </w:tc>
      </w:tr>
    </w:tbl>
    <w:p/>
    <w:p>
      <w:pPr>
        <w:pStyle w:val="Heading2"/>
      </w:pPr>
      <w:r>
        <w:t>5.7 Time Status</w:t>
      </w:r>
    </w:p>
    <w:p>
      <w:pPr>
        <w:pStyle w:val="CodeBlock"/>
        <w:keepLines/>
        <w:shd w:fill="F5F7F9"/>
      </w:pPr>
      <w:r>
        <w:rPr>
          <w:rFonts w:ascii="Cascadia Mono" w:hAnsi="Cascadia Mono"/>
          <w:sz w:val="17"/>
        </w:rPr>
        <w:t>time-status/</w:t>
        <w:br/>
        <w:t>├── core/ or models/</w:t>
        <w:br/>
        <w:t>├── store_adapter/</w:t>
        <w:br/>
        <w:t>├── web/</w:t>
        <w:br/>
        <w:t>└── resources/</w:t>
      </w:r>
    </w:p>
    <w:p>
      <w:r>
        <w:t>The store adapter and the Time Status UI belong to the same domain unless a concrete cross-domain UI reuse case proves otherwise.</w:t>
      </w:r>
    </w:p>
    <w:p>
      <w:pPr>
        <w:pStyle w:val="Heading2"/>
      </w:pPr>
      <w:r>
        <w:t>5.8 UI ownership cleanup</w:t>
      </w:r>
    </w:p>
    <w:p>
      <w:r>
        <w:t>The `ui/` directory is not removed wholesale. Every child is classified according to semantic ownership.</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4464"/>
            <w:shd w:fill="173A5E"/>
            <w:vAlign w:val="center"/>
            <w:tcMar>
              <w:top w:w="80" w:type="dxa"/>
              <w:start w:w="90" w:type="dxa"/>
              <w:bottom w:w="80" w:type="dxa"/>
              <w:end w:w="90" w:type="dxa"/>
            </w:tcMar>
          </w:tcPr>
          <w:p>
            <w:r>
              <w:rPr>
                <w:b/>
                <w:color w:val="FFFFFF"/>
                <w:sz w:val="17"/>
              </w:rPr>
              <w:t>Question</w:t>
            </w:r>
          </w:p>
        </w:tc>
        <w:tc>
          <w:tcPr>
            <w:tcW w:type="dxa" w:w="5760"/>
            <w:shd w:fill="173A5E"/>
            <w:vAlign w:val="center"/>
            <w:tcMar>
              <w:top w:w="80" w:type="dxa"/>
              <w:start w:w="90" w:type="dxa"/>
              <w:bottom w:w="80" w:type="dxa"/>
              <w:end w:w="90" w:type="dxa"/>
            </w:tcMar>
          </w:tcPr>
          <w:p>
            <w:r>
              <w:rPr>
                <w:b/>
                <w:color w:val="FFFFFF"/>
                <w:sz w:val="17"/>
              </w:rPr>
              <w:t>Decision</w:t>
            </w:r>
          </w:p>
        </w:tc>
      </w:tr>
      <w:tr>
        <w:trPr>
          <w:cantSplit/>
        </w:trPr>
        <w:tc>
          <w:tcPr>
            <w:tcW w:type="dxa" w:w="4464"/>
            <w:vAlign w:val="top"/>
            <w:tcMar>
              <w:top w:w="70" w:type="dxa"/>
              <w:start w:w="90" w:type="dxa"/>
              <w:bottom w:w="70" w:type="dxa"/>
              <w:end w:w="90" w:type="dxa"/>
            </w:tcMar>
          </w:tcPr>
          <w:p>
            <w:pPr>
              <w:spacing w:after="0"/>
            </w:pPr>
            <w:r>
              <w:rPr>
                <w:sz w:val="16"/>
              </w:rPr>
              <w:t>Does the component carry domain semantics?</w:t>
            </w:r>
          </w:p>
        </w:tc>
        <w:tc>
          <w:tcPr>
            <w:tcW w:type="dxa" w:w="5760"/>
            <w:vAlign w:val="top"/>
            <w:tcMar>
              <w:top w:w="70" w:type="dxa"/>
              <w:start w:w="90" w:type="dxa"/>
              <w:bottom w:w="70" w:type="dxa"/>
              <w:end w:w="90" w:type="dxa"/>
            </w:tcMar>
          </w:tcPr>
          <w:p>
            <w:pPr>
              <w:spacing w:after="0"/>
            </w:pPr>
            <w:r>
              <w:rPr>
                <w:sz w:val="16"/>
              </w:rPr>
              <w:t>Move it into that physical domain/capability</w:t>
            </w:r>
          </w:p>
        </w:tc>
      </w:tr>
      <w:tr>
        <w:trPr>
          <w:cantSplit/>
        </w:trPr>
        <w:tc>
          <w:tcPr>
            <w:tcW w:type="dxa" w:w="4464"/>
            <w:shd w:fill="F5F7F9"/>
            <w:vAlign w:val="top"/>
            <w:tcMar>
              <w:top w:w="70" w:type="dxa"/>
              <w:start w:w="90" w:type="dxa"/>
              <w:bottom w:w="70" w:type="dxa"/>
              <w:end w:w="90" w:type="dxa"/>
            </w:tcMar>
          </w:tcPr>
          <w:p>
            <w:pPr>
              <w:spacing w:after="0"/>
            </w:pPr>
            <w:r>
              <w:rPr>
                <w:sz w:val="16"/>
              </w:rPr>
              <w:t>Is it a generic visual primitive?</w:t>
            </w:r>
          </w:p>
        </w:tc>
        <w:tc>
          <w:tcPr>
            <w:tcW w:type="dxa" w:w="5760"/>
            <w:shd w:fill="F5F7F9"/>
            <w:vAlign w:val="top"/>
            <w:tcMar>
              <w:top w:w="70" w:type="dxa"/>
              <w:start w:w="90" w:type="dxa"/>
              <w:bottom w:w="70" w:type="dxa"/>
              <w:end w:w="90" w:type="dxa"/>
            </w:tcMar>
          </w:tcPr>
          <w:p>
            <w:pPr>
              <w:spacing w:after="0"/>
            </w:pPr>
            <w:r>
              <w:rPr>
                <w:sz w:val="16"/>
              </w:rPr>
              <w:t>Keep it under `ui/`</w:t>
            </w:r>
          </w:p>
        </w:tc>
      </w:tr>
      <w:tr>
        <w:trPr>
          <w:cantSplit/>
        </w:trPr>
        <w:tc>
          <w:tcPr>
            <w:tcW w:type="dxa" w:w="4464"/>
            <w:vAlign w:val="top"/>
            <w:tcMar>
              <w:top w:w="70" w:type="dxa"/>
              <w:start w:w="90" w:type="dxa"/>
              <w:bottom w:w="70" w:type="dxa"/>
              <w:end w:w="90" w:type="dxa"/>
            </w:tcMar>
          </w:tcPr>
          <w:p>
            <w:pPr>
              <w:spacing w:after="0"/>
            </w:pPr>
            <w:r>
              <w:rPr>
                <w:sz w:val="16"/>
              </w:rPr>
              <w:t>Is it generic enough for Atlanticus, not ADA?</w:t>
            </w:r>
          </w:p>
        </w:tc>
        <w:tc>
          <w:tcPr>
            <w:tcW w:type="dxa" w:w="5760"/>
            <w:vAlign w:val="top"/>
            <w:tcMar>
              <w:top w:w="70" w:type="dxa"/>
              <w:start w:w="90" w:type="dxa"/>
              <w:bottom w:w="70" w:type="dxa"/>
              <w:end w:w="90" w:type="dxa"/>
            </w:tcMar>
          </w:tcPr>
          <w:p>
            <w:pPr>
              <w:spacing w:after="0"/>
            </w:pPr>
            <w:r>
              <w:rPr>
                <w:sz w:val="16"/>
              </w:rPr>
              <w:t>Consider promotion to Atlanticus Web</w:t>
            </w:r>
          </w:p>
        </w:tc>
      </w:tr>
      <w:tr>
        <w:trPr>
          <w:cantSplit/>
        </w:trPr>
        <w:tc>
          <w:tcPr>
            <w:tcW w:type="dxa" w:w="4464"/>
            <w:shd w:fill="F5F7F9"/>
            <w:vAlign w:val="top"/>
            <w:tcMar>
              <w:top w:w="70" w:type="dxa"/>
              <w:start w:w="90" w:type="dxa"/>
              <w:bottom w:w="70" w:type="dxa"/>
              <w:end w:w="90" w:type="dxa"/>
            </w:tcMar>
          </w:tcPr>
          <w:p>
            <w:pPr>
              <w:spacing w:after="0"/>
            </w:pPr>
            <w:r>
              <w:rPr>
                <w:sz w:val="16"/>
              </w:rPr>
              <w:t>Is ownership unclear?</w:t>
            </w:r>
          </w:p>
        </w:tc>
        <w:tc>
          <w:tcPr>
            <w:tcW w:type="dxa" w:w="5760"/>
            <w:shd w:fill="F5F7F9"/>
            <w:vAlign w:val="top"/>
            <w:tcMar>
              <w:top w:w="70" w:type="dxa"/>
              <w:start w:w="90" w:type="dxa"/>
              <w:bottom w:w="70" w:type="dxa"/>
              <w:end w:w="90" w:type="dxa"/>
            </w:tcMar>
          </w:tcPr>
          <w:p>
            <w:pPr>
              <w:spacing w:after="0"/>
            </w:pPr>
            <w:r>
              <w:rPr>
                <w:sz w:val="16"/>
              </w:rPr>
              <w:t>Do not move until dependency/consumer audit resolves it</w:t>
            </w:r>
          </w:p>
        </w:tc>
      </w:tr>
    </w:tbl>
    <w:p/>
    <w:p>
      <w:pPr>
        <w:pStyle w:val="Heading1"/>
      </w:pPr>
      <w:r>
        <w:t>6. Migration sequence</w:t>
      </w:r>
    </w:p>
    <w:p>
      <w:r>
        <w:t>The migration is executed incrementally. Every increment leaves the repository installable and testable. No long-lived compatibility layer is kept unless a real external consumer requires it.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72"/>
            <w:shd w:fill="173A5E"/>
            <w:vAlign w:val="center"/>
            <w:tcMar>
              <w:top w:w="80" w:type="dxa"/>
              <w:start w:w="90" w:type="dxa"/>
              <w:bottom w:w="80" w:type="dxa"/>
              <w:end w:w="90" w:type="dxa"/>
            </w:tcMar>
          </w:tcPr>
          <w:p>
            <w:r>
              <w:rPr>
                <w:b/>
                <w:color w:val="FFFFFF"/>
                <w:sz w:val="17"/>
              </w:rPr>
              <w:t>Increment</w:t>
            </w:r>
          </w:p>
        </w:tc>
        <w:tc>
          <w:tcPr>
            <w:tcW w:type="dxa" w:w="3168"/>
            <w:shd w:fill="173A5E"/>
            <w:vAlign w:val="center"/>
            <w:tcMar>
              <w:top w:w="80" w:type="dxa"/>
              <w:start w:w="90" w:type="dxa"/>
              <w:bottom w:w="80" w:type="dxa"/>
              <w:end w:w="90" w:type="dxa"/>
            </w:tcMar>
          </w:tcPr>
          <w:p>
            <w:r>
              <w:rPr>
                <w:b/>
                <w:color w:val="FFFFFF"/>
                <w:sz w:val="17"/>
              </w:rPr>
              <w:t>Scope</w:t>
            </w:r>
          </w:p>
        </w:tc>
        <w:tc>
          <w:tcPr>
            <w:tcW w:type="dxa" w:w="6192"/>
            <w:shd w:fill="173A5E"/>
            <w:vAlign w:val="center"/>
            <w:tcMar>
              <w:top w:w="80" w:type="dxa"/>
              <w:start w:w="90" w:type="dxa"/>
              <w:bottom w:w="80" w:type="dxa"/>
              <w:end w:w="90" w:type="dxa"/>
            </w:tcMar>
          </w:tcPr>
          <w:p>
            <w:r>
              <w:rPr>
                <w:b/>
                <w:color w:val="FFFFFF"/>
                <w:sz w:val="17"/>
              </w:rPr>
              <w:t>Primary outcome</w:t>
            </w:r>
          </w:p>
        </w:tc>
      </w:tr>
      <w:tr>
        <w:trPr>
          <w:cantSplit/>
        </w:trPr>
        <w:tc>
          <w:tcPr>
            <w:tcW w:type="dxa" w:w="1872"/>
            <w:vAlign w:val="top"/>
            <w:tcMar>
              <w:top w:w="70" w:type="dxa"/>
              <w:start w:w="90" w:type="dxa"/>
              <w:bottom w:w="70" w:type="dxa"/>
              <w:end w:w="90" w:type="dxa"/>
            </w:tcMar>
          </w:tcPr>
          <w:p>
            <w:pPr>
              <w:spacing w:after="0"/>
            </w:pPr>
            <w:r>
              <w:rPr>
                <w:sz w:val="16"/>
              </w:rPr>
              <w:t>W-ARCH-001</w:t>
            </w:r>
          </w:p>
        </w:tc>
        <w:tc>
          <w:tcPr>
            <w:tcW w:type="dxa" w:w="3168"/>
            <w:vAlign w:val="top"/>
            <w:tcMar>
              <w:top w:w="70" w:type="dxa"/>
              <w:start w:w="90" w:type="dxa"/>
              <w:bottom w:w="70" w:type="dxa"/>
              <w:end w:w="90" w:type="dxa"/>
            </w:tcMar>
          </w:tcPr>
          <w:p>
            <w:pPr>
              <w:spacing w:after="0"/>
            </w:pPr>
            <w:r>
              <w:rPr>
                <w:sz w:val="16"/>
              </w:rPr>
              <w:t>Branding consolidation</w:t>
            </w:r>
          </w:p>
        </w:tc>
        <w:tc>
          <w:tcPr>
            <w:tcW w:type="dxa" w:w="6192"/>
            <w:vAlign w:val="top"/>
            <w:tcMar>
              <w:top w:w="70" w:type="dxa"/>
              <w:start w:w="90" w:type="dxa"/>
              <w:bottom w:w="70" w:type="dxa"/>
              <w:end w:w="90" w:type="dxa"/>
            </w:tcMar>
          </w:tcPr>
          <w:p>
            <w:pPr>
              <w:spacing w:after="0"/>
            </w:pPr>
            <w:r>
              <w:rPr>
                <w:sz w:val="16"/>
              </w:rPr>
              <w:t>One Branding capability; current variants preserved; variant-to-assets resolver added</w:t>
            </w:r>
          </w:p>
        </w:tc>
      </w:tr>
      <w:tr>
        <w:trPr>
          <w:cantSplit/>
        </w:trPr>
        <w:tc>
          <w:tcPr>
            <w:tcW w:type="dxa" w:w="1872"/>
            <w:shd w:fill="F5F7F9"/>
            <w:vAlign w:val="top"/>
            <w:tcMar>
              <w:top w:w="70" w:type="dxa"/>
              <w:start w:w="90" w:type="dxa"/>
              <w:bottom w:w="70" w:type="dxa"/>
              <w:end w:w="90" w:type="dxa"/>
            </w:tcMar>
          </w:tcPr>
          <w:p>
            <w:pPr>
              <w:spacing w:after="0"/>
            </w:pPr>
            <w:r>
              <w:rPr>
                <w:sz w:val="16"/>
              </w:rPr>
              <w:t>W-ARCH-002</w:t>
            </w:r>
          </w:p>
        </w:tc>
        <w:tc>
          <w:tcPr>
            <w:tcW w:type="dxa" w:w="3168"/>
            <w:shd w:fill="F5F7F9"/>
            <w:vAlign w:val="top"/>
            <w:tcMar>
              <w:top w:w="70" w:type="dxa"/>
              <w:start w:w="90" w:type="dxa"/>
              <w:bottom w:w="70" w:type="dxa"/>
              <w:end w:w="90" w:type="dxa"/>
            </w:tcMar>
          </w:tcPr>
          <w:p>
            <w:pPr>
              <w:spacing w:after="0"/>
            </w:pPr>
            <w:r>
              <w:rPr>
                <w:sz w:val="16"/>
              </w:rPr>
              <w:t>Tools domain consolidation</w:t>
            </w:r>
          </w:p>
        </w:tc>
        <w:tc>
          <w:tcPr>
            <w:tcW w:type="dxa" w:w="6192"/>
            <w:shd w:fill="F5F7F9"/>
            <w:vAlign w:val="top"/>
            <w:tcMar>
              <w:top w:w="70" w:type="dxa"/>
              <w:start w:w="90" w:type="dxa"/>
              <w:bottom w:w="70" w:type="dxa"/>
              <w:end w:w="90" w:type="dxa"/>
            </w:tcMar>
          </w:tcPr>
          <w:p>
            <w:pPr>
              <w:spacing w:after="0"/>
            </w:pPr>
            <w:r>
              <w:rPr>
                <w:sz w:val="16"/>
              </w:rPr>
              <w:t>Tools core + configuration; remove tools-lifecycle/tool-editor/tool-sources wheels</w:t>
            </w:r>
          </w:p>
        </w:tc>
      </w:tr>
      <w:tr>
        <w:trPr>
          <w:cantSplit/>
        </w:trPr>
        <w:tc>
          <w:tcPr>
            <w:tcW w:type="dxa" w:w="1872"/>
            <w:vAlign w:val="top"/>
            <w:tcMar>
              <w:top w:w="70" w:type="dxa"/>
              <w:start w:w="90" w:type="dxa"/>
              <w:bottom w:w="70" w:type="dxa"/>
              <w:end w:w="90" w:type="dxa"/>
            </w:tcMar>
          </w:tcPr>
          <w:p>
            <w:pPr>
              <w:spacing w:after="0"/>
            </w:pPr>
            <w:r>
              <w:rPr>
                <w:sz w:val="16"/>
              </w:rPr>
              <w:t>W-ARCH-003</w:t>
            </w:r>
          </w:p>
        </w:tc>
        <w:tc>
          <w:tcPr>
            <w:tcW w:type="dxa" w:w="3168"/>
            <w:vAlign w:val="top"/>
            <w:tcMar>
              <w:top w:w="70" w:type="dxa"/>
              <w:start w:w="90" w:type="dxa"/>
              <w:bottom w:w="70" w:type="dxa"/>
              <w:end w:w="90" w:type="dxa"/>
            </w:tcMar>
          </w:tcPr>
          <w:p>
            <w:pPr>
              <w:spacing w:after="0"/>
            </w:pPr>
            <w:r>
              <w:rPr>
                <w:sz w:val="16"/>
              </w:rPr>
              <w:t>Components consolidation</w:t>
            </w:r>
          </w:p>
        </w:tc>
        <w:tc>
          <w:tcPr>
            <w:tcW w:type="dxa" w:w="6192"/>
            <w:vAlign w:val="top"/>
            <w:tcMar>
              <w:top w:w="70" w:type="dxa"/>
              <w:start w:w="90" w:type="dxa"/>
              <w:bottom w:w="70" w:type="dxa"/>
              <w:end w:w="90" w:type="dxa"/>
            </w:tcMar>
          </w:tcPr>
          <w:p>
            <w:pPr>
              <w:spacing w:after="0"/>
            </w:pPr>
            <w:r>
              <w:rPr>
                <w:sz w:val="16"/>
              </w:rPr>
              <w:t>Store + Delivery + Render Binding under Components</w:t>
            </w:r>
          </w:p>
        </w:tc>
      </w:tr>
      <w:tr>
        <w:trPr>
          <w:cantSplit/>
        </w:trPr>
        <w:tc>
          <w:tcPr>
            <w:tcW w:type="dxa" w:w="1872"/>
            <w:shd w:fill="F5F7F9"/>
            <w:vAlign w:val="top"/>
            <w:tcMar>
              <w:top w:w="70" w:type="dxa"/>
              <w:start w:w="90" w:type="dxa"/>
              <w:bottom w:w="70" w:type="dxa"/>
              <w:end w:w="90" w:type="dxa"/>
            </w:tcMar>
          </w:tcPr>
          <w:p>
            <w:pPr>
              <w:spacing w:after="0"/>
            </w:pPr>
            <w:r>
              <w:rPr>
                <w:sz w:val="16"/>
              </w:rPr>
              <w:t>W-ARCH-004</w:t>
            </w:r>
          </w:p>
        </w:tc>
        <w:tc>
          <w:tcPr>
            <w:tcW w:type="dxa" w:w="3168"/>
            <w:shd w:fill="F5F7F9"/>
            <w:vAlign w:val="top"/>
            <w:tcMar>
              <w:top w:w="70" w:type="dxa"/>
              <w:start w:w="90" w:type="dxa"/>
              <w:bottom w:w="70" w:type="dxa"/>
              <w:end w:w="90" w:type="dxa"/>
            </w:tcMar>
          </w:tcPr>
          <w:p>
            <w:pPr>
              <w:spacing w:after="0"/>
            </w:pPr>
            <w:r>
              <w:rPr>
                <w:sz w:val="16"/>
              </w:rPr>
              <w:t>Content State consolidation</w:t>
            </w:r>
          </w:p>
        </w:tc>
        <w:tc>
          <w:tcPr>
            <w:tcW w:type="dxa" w:w="6192"/>
            <w:shd w:fill="F5F7F9"/>
            <w:vAlign w:val="top"/>
            <w:tcMar>
              <w:top w:w="70" w:type="dxa"/>
              <w:start w:w="90" w:type="dxa"/>
              <w:bottom w:w="70" w:type="dxa"/>
              <w:end w:w="90" w:type="dxa"/>
            </w:tcMar>
          </w:tcPr>
          <w:p>
            <w:pPr>
              <w:spacing w:after="0"/>
            </w:pPr>
            <w:r>
              <w:rPr>
                <w:sz w:val="16"/>
              </w:rPr>
              <w:t>Core + resolver become one capability package</w:t>
            </w:r>
          </w:p>
        </w:tc>
      </w:tr>
      <w:tr>
        <w:trPr>
          <w:cantSplit/>
        </w:trPr>
        <w:tc>
          <w:tcPr>
            <w:tcW w:type="dxa" w:w="1872"/>
            <w:vAlign w:val="top"/>
            <w:tcMar>
              <w:top w:w="70" w:type="dxa"/>
              <w:start w:w="90" w:type="dxa"/>
              <w:bottom w:w="70" w:type="dxa"/>
              <w:end w:w="90" w:type="dxa"/>
            </w:tcMar>
          </w:tcPr>
          <w:p>
            <w:pPr>
              <w:spacing w:after="0"/>
            </w:pPr>
            <w:r>
              <w:rPr>
                <w:sz w:val="16"/>
              </w:rPr>
              <w:t>W-ARCH-005</w:t>
            </w:r>
          </w:p>
        </w:tc>
        <w:tc>
          <w:tcPr>
            <w:tcW w:type="dxa" w:w="3168"/>
            <w:vAlign w:val="top"/>
            <w:tcMar>
              <w:top w:w="70" w:type="dxa"/>
              <w:start w:w="90" w:type="dxa"/>
              <w:bottom w:w="70" w:type="dxa"/>
              <w:end w:w="90" w:type="dxa"/>
            </w:tcMar>
          </w:tcPr>
          <w:p>
            <w:pPr>
              <w:spacing w:after="0"/>
            </w:pPr>
            <w:r>
              <w:rPr>
                <w:sz w:val="16"/>
              </w:rPr>
              <w:t>Time Status consolidation</w:t>
            </w:r>
          </w:p>
        </w:tc>
        <w:tc>
          <w:tcPr>
            <w:tcW w:type="dxa" w:w="6192"/>
            <w:vAlign w:val="top"/>
            <w:tcMar>
              <w:top w:w="70" w:type="dxa"/>
              <w:start w:w="90" w:type="dxa"/>
              <w:bottom w:w="70" w:type="dxa"/>
              <w:end w:w="90" w:type="dxa"/>
            </w:tcMar>
          </w:tcPr>
          <w:p>
            <w:pPr>
              <w:spacing w:after="0"/>
            </w:pPr>
            <w:r>
              <w:rPr>
                <w:sz w:val="16"/>
              </w:rPr>
              <w:t>Adapter + domain-specific UI reunited</w:t>
            </w:r>
          </w:p>
        </w:tc>
      </w:tr>
      <w:tr>
        <w:trPr>
          <w:cantSplit/>
        </w:trPr>
        <w:tc>
          <w:tcPr>
            <w:tcW w:type="dxa" w:w="1872"/>
            <w:shd w:fill="F5F7F9"/>
            <w:vAlign w:val="top"/>
            <w:tcMar>
              <w:top w:w="70" w:type="dxa"/>
              <w:start w:w="90" w:type="dxa"/>
              <w:bottom w:w="70" w:type="dxa"/>
              <w:end w:w="90" w:type="dxa"/>
            </w:tcMar>
          </w:tcPr>
          <w:p>
            <w:pPr>
              <w:spacing w:after="0"/>
            </w:pPr>
            <w:r>
              <w:rPr>
                <w:sz w:val="16"/>
              </w:rPr>
              <w:t>W-ARCH-006</w:t>
            </w:r>
          </w:p>
        </w:tc>
        <w:tc>
          <w:tcPr>
            <w:tcW w:type="dxa" w:w="3168"/>
            <w:shd w:fill="F5F7F9"/>
            <w:vAlign w:val="top"/>
            <w:tcMar>
              <w:top w:w="70" w:type="dxa"/>
              <w:start w:w="90" w:type="dxa"/>
              <w:bottom w:w="70" w:type="dxa"/>
              <w:end w:w="90" w:type="dxa"/>
            </w:tcMar>
          </w:tcPr>
          <w:p>
            <w:pPr>
              <w:spacing w:after="0"/>
            </w:pPr>
            <w:r>
              <w:rPr>
                <w:sz w:val="16"/>
              </w:rPr>
              <w:t>UI ownership cleanup</w:t>
            </w:r>
          </w:p>
        </w:tc>
        <w:tc>
          <w:tcPr>
            <w:tcW w:type="dxa" w:w="6192"/>
            <w:shd w:fill="F5F7F9"/>
            <w:vAlign w:val="top"/>
            <w:tcMar>
              <w:top w:w="70" w:type="dxa"/>
              <w:start w:w="90" w:type="dxa"/>
              <w:bottom w:w="70" w:type="dxa"/>
              <w:end w:w="90" w:type="dxa"/>
            </w:tcMar>
          </w:tcPr>
          <w:p>
            <w:pPr>
              <w:spacing w:after="0"/>
            </w:pPr>
            <w:r>
              <w:rPr>
                <w:sz w:val="16"/>
              </w:rPr>
              <w:t>Move domain UI out of generic ui/; retain only primitives</w:t>
            </w:r>
          </w:p>
        </w:tc>
      </w:tr>
      <w:tr>
        <w:trPr>
          <w:cantSplit/>
        </w:trPr>
        <w:tc>
          <w:tcPr>
            <w:tcW w:type="dxa" w:w="1872"/>
            <w:vAlign w:val="top"/>
            <w:tcMar>
              <w:top w:w="70" w:type="dxa"/>
              <w:start w:w="90" w:type="dxa"/>
              <w:bottom w:w="70" w:type="dxa"/>
              <w:end w:w="90" w:type="dxa"/>
            </w:tcMar>
          </w:tcPr>
          <w:p>
            <w:pPr>
              <w:spacing w:after="0"/>
            </w:pPr>
            <w:r>
              <w:rPr>
                <w:sz w:val="16"/>
              </w:rPr>
              <w:t>W-ARCH-007</w:t>
            </w:r>
          </w:p>
        </w:tc>
        <w:tc>
          <w:tcPr>
            <w:tcW w:type="dxa" w:w="3168"/>
            <w:vAlign w:val="top"/>
            <w:tcMar>
              <w:top w:w="70" w:type="dxa"/>
              <w:start w:w="90" w:type="dxa"/>
              <w:bottom w:w="70" w:type="dxa"/>
              <w:end w:w="90" w:type="dxa"/>
            </w:tcMar>
          </w:tcPr>
          <w:p>
            <w:pPr>
              <w:spacing w:after="0"/>
            </w:pPr>
            <w:r>
              <w:rPr>
                <w:sz w:val="16"/>
              </w:rPr>
              <w:t>Inspection consolidation</w:t>
            </w:r>
          </w:p>
        </w:tc>
        <w:tc>
          <w:tcPr>
            <w:tcW w:type="dxa" w:w="6192"/>
            <w:vAlign w:val="top"/>
            <w:tcMar>
              <w:top w:w="70" w:type="dxa"/>
              <w:start w:w="90" w:type="dxa"/>
              <w:bottom w:w="70" w:type="dxa"/>
              <w:end w:w="90" w:type="dxa"/>
            </w:tcMar>
          </w:tcPr>
          <w:p>
            <w:pPr>
              <w:spacing w:after="0"/>
            </w:pPr>
            <w:r>
              <w:rPr>
                <w:sz w:val="16"/>
              </w:rPr>
              <w:t>Reduce micro-packages while preserving internal modules</w:t>
            </w:r>
          </w:p>
        </w:tc>
      </w:tr>
      <w:tr>
        <w:trPr>
          <w:cantSplit/>
        </w:trPr>
        <w:tc>
          <w:tcPr>
            <w:tcW w:type="dxa" w:w="1872"/>
            <w:shd w:fill="F5F7F9"/>
            <w:vAlign w:val="top"/>
            <w:tcMar>
              <w:top w:w="70" w:type="dxa"/>
              <w:start w:w="90" w:type="dxa"/>
              <w:bottom w:w="70" w:type="dxa"/>
              <w:end w:w="90" w:type="dxa"/>
            </w:tcMar>
          </w:tcPr>
          <w:p>
            <w:pPr>
              <w:spacing w:after="0"/>
            </w:pPr>
            <w:r>
              <w:rPr>
                <w:sz w:val="16"/>
              </w:rPr>
              <w:t>W-ARCH-008</w:t>
            </w:r>
          </w:p>
        </w:tc>
        <w:tc>
          <w:tcPr>
            <w:tcW w:type="dxa" w:w="3168"/>
            <w:shd w:fill="F5F7F9"/>
            <w:vAlign w:val="top"/>
            <w:tcMar>
              <w:top w:w="70" w:type="dxa"/>
              <w:start w:w="90" w:type="dxa"/>
              <w:bottom w:w="70" w:type="dxa"/>
              <w:end w:w="90" w:type="dxa"/>
            </w:tcMar>
          </w:tcPr>
          <w:p>
            <w:pPr>
              <w:spacing w:after="0"/>
            </w:pPr>
            <w:r>
              <w:rPr>
                <w:sz w:val="16"/>
              </w:rPr>
              <w:t>Operational organization</w:t>
            </w:r>
          </w:p>
        </w:tc>
        <w:tc>
          <w:tcPr>
            <w:tcW w:type="dxa" w:w="6192"/>
            <w:shd w:fill="F5F7F9"/>
            <w:vAlign w:val="top"/>
            <w:tcMar>
              <w:top w:w="70" w:type="dxa"/>
              <w:start w:w="90" w:type="dxa"/>
              <w:bottom w:w="70" w:type="dxa"/>
              <w:end w:w="90" w:type="dxa"/>
            </w:tcMar>
          </w:tcPr>
          <w:p>
            <w:pPr>
              <w:spacing w:after="0"/>
            </w:pPr>
            <w:r>
              <w:rPr>
                <w:sz w:val="16"/>
              </w:rPr>
              <w:t>Operational State placed under coherent domain tree</w:t>
            </w:r>
          </w:p>
        </w:tc>
      </w:tr>
      <w:tr>
        <w:trPr>
          <w:cantSplit/>
        </w:trPr>
        <w:tc>
          <w:tcPr>
            <w:tcW w:type="dxa" w:w="1872"/>
            <w:vAlign w:val="top"/>
            <w:tcMar>
              <w:top w:w="70" w:type="dxa"/>
              <w:start w:w="90" w:type="dxa"/>
              <w:bottom w:w="70" w:type="dxa"/>
              <w:end w:w="90" w:type="dxa"/>
            </w:tcMar>
          </w:tcPr>
          <w:p>
            <w:pPr>
              <w:spacing w:after="0"/>
            </w:pPr>
            <w:r>
              <w:rPr>
                <w:sz w:val="16"/>
              </w:rPr>
              <w:t>W-ARCH-009</w:t>
            </w:r>
          </w:p>
        </w:tc>
        <w:tc>
          <w:tcPr>
            <w:tcW w:type="dxa" w:w="3168"/>
            <w:vAlign w:val="top"/>
            <w:tcMar>
              <w:top w:w="70" w:type="dxa"/>
              <w:start w:w="90" w:type="dxa"/>
              <w:bottom w:w="70" w:type="dxa"/>
              <w:end w:w="90" w:type="dxa"/>
            </w:tcMar>
          </w:tcPr>
          <w:p>
            <w:pPr>
              <w:spacing w:after="0"/>
            </w:pPr>
            <w:r>
              <w:rPr>
                <w:sz w:val="16"/>
              </w:rPr>
              <w:t>Runtime Experience classification</w:t>
            </w:r>
          </w:p>
        </w:tc>
        <w:tc>
          <w:tcPr>
            <w:tcW w:type="dxa" w:w="6192"/>
            <w:vAlign w:val="top"/>
            <w:tcMar>
              <w:top w:w="70" w:type="dxa"/>
              <w:start w:w="90" w:type="dxa"/>
              <w:bottom w:w="70" w:type="dxa"/>
              <w:end w:w="90" w:type="dxa"/>
            </w:tcMar>
          </w:tcPr>
          <w:p>
            <w:pPr>
              <w:spacing w:after="0"/>
            </w:pPr>
            <w:r>
              <w:rPr>
                <w:sz w:val="16"/>
              </w:rPr>
              <w:t>Promote/keep/split based on actual semantics</w:t>
            </w:r>
          </w:p>
        </w:tc>
      </w:tr>
      <w:tr>
        <w:trPr>
          <w:cantSplit/>
        </w:trPr>
        <w:tc>
          <w:tcPr>
            <w:tcW w:type="dxa" w:w="1872"/>
            <w:shd w:fill="F5F7F9"/>
            <w:vAlign w:val="top"/>
            <w:tcMar>
              <w:top w:w="70" w:type="dxa"/>
              <w:start w:w="90" w:type="dxa"/>
              <w:bottom w:w="70" w:type="dxa"/>
              <w:end w:w="90" w:type="dxa"/>
            </w:tcMar>
          </w:tcPr>
          <w:p>
            <w:pPr>
              <w:spacing w:after="0"/>
            </w:pPr>
            <w:r>
              <w:rPr>
                <w:sz w:val="16"/>
              </w:rPr>
              <w:t>W-ARCH-010</w:t>
            </w:r>
          </w:p>
        </w:tc>
        <w:tc>
          <w:tcPr>
            <w:tcW w:type="dxa" w:w="3168"/>
            <w:shd w:fill="F5F7F9"/>
            <w:vAlign w:val="top"/>
            <w:tcMar>
              <w:top w:w="70" w:type="dxa"/>
              <w:start w:w="90" w:type="dxa"/>
              <w:bottom w:w="70" w:type="dxa"/>
              <w:end w:w="90" w:type="dxa"/>
            </w:tcMar>
          </w:tcPr>
          <w:p>
            <w:pPr>
              <w:spacing w:after="0"/>
            </w:pPr>
            <w:r>
              <w:rPr>
                <w:sz w:val="16"/>
              </w:rPr>
              <w:t>KPI physical landing</w:t>
            </w:r>
          </w:p>
        </w:tc>
        <w:tc>
          <w:tcPr>
            <w:tcW w:type="dxa" w:w="6192"/>
            <w:shd w:fill="F5F7F9"/>
            <w:vAlign w:val="top"/>
            <w:tcMar>
              <w:top w:w="70" w:type="dxa"/>
              <w:start w:w="90" w:type="dxa"/>
              <w:bottom w:w="70" w:type="dxa"/>
              <w:end w:w="90" w:type="dxa"/>
            </w:tcMar>
          </w:tcPr>
          <w:p>
            <w:pPr>
              <w:spacing w:after="0"/>
            </w:pPr>
            <w:r>
              <w:rPr>
                <w:sz w:val="16"/>
              </w:rPr>
              <w:t>kpis/definition + kpis/configuration ready for KPI Manager</w:t>
            </w:r>
          </w:p>
        </w:tc>
      </w:tr>
      <w:tr>
        <w:trPr>
          <w:cantSplit/>
        </w:trPr>
        <w:tc>
          <w:tcPr>
            <w:tcW w:type="dxa" w:w="1872"/>
            <w:vAlign w:val="top"/>
            <w:tcMar>
              <w:top w:w="70" w:type="dxa"/>
              <w:start w:w="90" w:type="dxa"/>
              <w:bottom w:w="70" w:type="dxa"/>
              <w:end w:w="90" w:type="dxa"/>
            </w:tcMar>
          </w:tcPr>
          <w:p>
            <w:pPr>
              <w:spacing w:after="0"/>
            </w:pPr>
            <w:r>
              <w:rPr>
                <w:sz w:val="16"/>
              </w:rPr>
              <w:t>W-ARCH-011</w:t>
            </w:r>
          </w:p>
        </w:tc>
        <w:tc>
          <w:tcPr>
            <w:tcW w:type="dxa" w:w="3168"/>
            <w:vAlign w:val="top"/>
            <w:tcMar>
              <w:top w:w="70" w:type="dxa"/>
              <w:start w:w="90" w:type="dxa"/>
              <w:bottom w:w="70" w:type="dxa"/>
              <w:end w:w="90" w:type="dxa"/>
            </w:tcMar>
          </w:tcPr>
          <w:p>
            <w:pPr>
              <w:spacing w:after="0"/>
            </w:pPr>
            <w:r>
              <w:rPr>
                <w:sz w:val="16"/>
              </w:rPr>
              <w:t>Repository full qualification</w:t>
            </w:r>
          </w:p>
        </w:tc>
        <w:tc>
          <w:tcPr>
            <w:tcW w:type="dxa" w:w="6192"/>
            <w:vAlign w:val="top"/>
            <w:tcMar>
              <w:top w:w="70" w:type="dxa"/>
              <w:start w:w="90" w:type="dxa"/>
              <w:bottom w:w="70" w:type="dxa"/>
              <w:end w:w="90" w:type="dxa"/>
            </w:tcMar>
          </w:tcPr>
          <w:p>
            <w:pPr>
              <w:spacing w:after="0"/>
            </w:pPr>
            <w:r>
              <w:rPr>
                <w:sz w:val="16"/>
              </w:rPr>
              <w:t>All consumers, tests, locks, mirrors and runtime smoke GREEN</w:t>
            </w:r>
          </w:p>
        </w:tc>
      </w:tr>
    </w:tbl>
    <w:p/>
    <w:p>
      <w:pPr>
        <w:pStyle w:val="Heading2"/>
      </w:pPr>
      <w:r>
        <w:t>6.1 Increment contract</w:t>
      </w:r>
    </w:p>
    <w:p>
      <w:pPr>
        <w:pStyle w:val="ListNumber"/>
        <w:spacing w:after="40"/>
      </w:pPr>
      <w:r>
        <w:t>Verify baseline HEAD and clean working tree.</w:t>
      </w:r>
    </w:p>
    <w:p>
      <w:pPr>
        <w:pStyle w:val="ListNumber"/>
        <w:spacing w:after="40"/>
      </w:pPr>
      <w:r>
        <w:t>Map current files, imports, package names, dependency declarations, tests and mirrors.</w:t>
      </w:r>
    </w:p>
    <w:p>
      <w:pPr>
        <w:pStyle w:val="ListNumber"/>
        <w:spacing w:after="40"/>
      </w:pPr>
      <w:r>
        <w:t>Move code with no semantic rewrite.</w:t>
      </w:r>
    </w:p>
    <w:p>
      <w:pPr>
        <w:pStyle w:val="ListNumber"/>
        <w:spacing w:after="40"/>
      </w:pPr>
      <w:r>
        <w:t>Update all in-repository consumers in the same increment.</w:t>
      </w:r>
    </w:p>
    <w:p>
      <w:pPr>
        <w:pStyle w:val="ListNumber"/>
        <w:spacing w:after="40"/>
      </w:pPr>
      <w:r>
        <w:t>Remove the old wheel/package boundary once no consumer remains.</w:t>
      </w:r>
    </w:p>
    <w:p>
      <w:pPr>
        <w:pStyle w:val="ListNumber"/>
        <w:spacing w:after="40"/>
      </w:pPr>
      <w:r>
        <w:t>Run package-local gates.</w:t>
      </w:r>
    </w:p>
    <w:p>
      <w:pPr>
        <w:pStyle w:val="ListNumber"/>
        <w:spacing w:after="40"/>
      </w:pPr>
      <w:r>
        <w:t>Run consumer gates.</w:t>
      </w:r>
    </w:p>
    <w:p>
      <w:pPr>
        <w:pStyle w:val="ListNumber"/>
        <w:spacing w:after="40"/>
      </w:pPr>
      <w:r>
        <w:t>Run repository-level qualification.</w:t>
      </w:r>
    </w:p>
    <w:p>
      <w:pPr>
        <w:pStyle w:val="ListNumber"/>
        <w:spacing w:after="40"/>
      </w:pPr>
      <w:r>
        <w:t>Only then freeze the increment and proceed.</w:t>
      </w:r>
    </w:p>
    <w:p>
      <w:pPr>
        <w:pStyle w:val="Heading1"/>
      </w:pPr>
      <w:r>
        <w:t>7. Qualification and testing strategy</w:t>
      </w:r>
    </w:p>
    <w:p>
      <w:r>
        <w:t>Because this work is a structural migration, success is not measured only by unit tests. The qualification must prove source equivalence, dependency integrity, application startup, runtime behavior, Manager behavior and absence of stale imports.</w:t>
      </w:r>
    </w:p>
    <w:p>
      <w:pPr>
        <w:pStyle w:val="Heading2"/>
      </w:pPr>
      <w:r>
        <w:t>7.1 Gate layers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shd w:fill="173A5E"/>
            <w:vAlign w:val="center"/>
            <w:tcMar>
              <w:top w:w="80" w:type="dxa"/>
              <w:start w:w="90" w:type="dxa"/>
              <w:bottom w:w="80" w:type="dxa"/>
              <w:end w:w="90" w:type="dxa"/>
            </w:tcMar>
          </w:tcPr>
          <w:p>
            <w:r>
              <w:rPr>
                <w:b/>
                <w:color w:val="FFFFFF"/>
                <w:sz w:val="17"/>
              </w:rPr>
              <w:t>Layer</w:t>
            </w:r>
          </w:p>
        </w:tc>
        <w:tc>
          <w:tcPr>
            <w:tcW w:type="dxa" w:w="8496"/>
            <w:shd w:fill="173A5E"/>
            <w:vAlign w:val="center"/>
            <w:tcMar>
              <w:top w:w="80" w:type="dxa"/>
              <w:start w:w="90" w:type="dxa"/>
              <w:bottom w:w="80" w:type="dxa"/>
              <w:end w:w="90" w:type="dxa"/>
            </w:tcMar>
          </w:tcPr>
          <w:p>
            <w:r>
              <w:rPr>
                <w:b/>
                <w:color w:val="FFFFFF"/>
                <w:sz w:val="17"/>
              </w:rPr>
              <w:t>Required checks</w:t>
            </w:r>
          </w:p>
        </w:tc>
      </w:tr>
      <w:tr>
        <w:trPr>
          <w:cantSplit/>
        </w:trPr>
        <w:tc>
          <w:tcPr>
            <w:tcW w:type="dxa" w:w="2160"/>
            <w:vAlign w:val="top"/>
            <w:tcMar>
              <w:top w:w="70" w:type="dxa"/>
              <w:start w:w="90" w:type="dxa"/>
              <w:bottom w:w="70" w:type="dxa"/>
              <w:end w:w="90" w:type="dxa"/>
            </w:tcMar>
          </w:tcPr>
          <w:p>
            <w:pPr>
              <w:spacing w:after="0"/>
            </w:pPr>
            <w:r>
              <w:rPr>
                <w:sz w:val="16"/>
              </w:rPr>
              <w:t>Source quality</w:t>
            </w:r>
          </w:p>
        </w:tc>
        <w:tc>
          <w:tcPr>
            <w:tcW w:type="dxa" w:w="8496"/>
            <w:vAlign w:val="top"/>
            <w:tcMar>
              <w:top w:w="70" w:type="dxa"/>
              <w:start w:w="90" w:type="dxa"/>
              <w:bottom w:w="70" w:type="dxa"/>
              <w:end w:w="90" w:type="dxa"/>
            </w:tcMar>
          </w:tcPr>
          <w:p>
            <w:pPr>
              <w:spacing w:after="0"/>
            </w:pPr>
            <w:r>
              <w:rPr>
                <w:sz w:val="16"/>
              </w:rPr>
              <w:t>ruff format, ruff check, format --check, Python 3.14.2</w:t>
            </w:r>
          </w:p>
        </w:tc>
      </w:tr>
      <w:tr>
        <w:trPr>
          <w:cantSplit/>
        </w:trPr>
        <w:tc>
          <w:tcPr>
            <w:tcW w:type="dxa" w:w="2160"/>
            <w:shd w:fill="F5F7F9"/>
            <w:vAlign w:val="top"/>
            <w:tcMar>
              <w:top w:w="70" w:type="dxa"/>
              <w:start w:w="90" w:type="dxa"/>
              <w:bottom w:w="70" w:type="dxa"/>
              <w:end w:w="90" w:type="dxa"/>
            </w:tcMar>
          </w:tcPr>
          <w:p>
            <w:pPr>
              <w:spacing w:after="0"/>
            </w:pPr>
            <w:r>
              <w:rPr>
                <w:sz w:val="16"/>
              </w:rPr>
              <w:t>Unit</w:t>
            </w:r>
          </w:p>
        </w:tc>
        <w:tc>
          <w:tcPr>
            <w:tcW w:type="dxa" w:w="8496"/>
            <w:shd w:fill="F5F7F9"/>
            <w:vAlign w:val="top"/>
            <w:tcMar>
              <w:top w:w="70" w:type="dxa"/>
              <w:start w:w="90" w:type="dxa"/>
              <w:bottom w:w="70" w:type="dxa"/>
              <w:end w:w="90" w:type="dxa"/>
            </w:tcMar>
          </w:tcPr>
          <w:p>
            <w:pPr>
              <w:spacing w:after="0"/>
            </w:pPr>
            <w:r>
              <w:rPr>
                <w:sz w:val="16"/>
              </w:rPr>
              <w:t>pytest for migrated package and every directly affected consumer</w:t>
            </w:r>
          </w:p>
        </w:tc>
      </w:tr>
      <w:tr>
        <w:trPr>
          <w:cantSplit/>
        </w:trPr>
        <w:tc>
          <w:tcPr>
            <w:tcW w:type="dxa" w:w="2160"/>
            <w:vAlign w:val="top"/>
            <w:tcMar>
              <w:top w:w="70" w:type="dxa"/>
              <w:start w:w="90" w:type="dxa"/>
              <w:bottom w:w="70" w:type="dxa"/>
              <w:end w:w="90" w:type="dxa"/>
            </w:tcMar>
          </w:tcPr>
          <w:p>
            <w:pPr>
              <w:spacing w:after="0"/>
            </w:pPr>
            <w:r>
              <w:rPr>
                <w:sz w:val="16"/>
              </w:rPr>
              <w:t>Packaging</w:t>
            </w:r>
          </w:p>
        </w:tc>
        <w:tc>
          <w:tcPr>
            <w:tcW w:type="dxa" w:w="8496"/>
            <w:vAlign w:val="top"/>
            <w:tcMar>
              <w:top w:w="70" w:type="dxa"/>
              <w:start w:w="90" w:type="dxa"/>
              <w:bottom w:w="70" w:type="dxa"/>
              <w:end w:w="90" w:type="dxa"/>
            </w:tcMar>
          </w:tcPr>
          <w:p>
            <w:pPr>
              <w:spacing w:after="0"/>
            </w:pPr>
            <w:r>
              <w:rPr>
                <w:sz w:val="16"/>
              </w:rPr>
              <w:t>uv sync --frozen, uv lock --check, build/install/import smoke where relevant</w:t>
            </w:r>
          </w:p>
        </w:tc>
      </w:tr>
      <w:tr>
        <w:trPr>
          <w:cantSplit/>
        </w:trPr>
        <w:tc>
          <w:tcPr>
            <w:tcW w:type="dxa" w:w="2160"/>
            <w:shd w:fill="F5F7F9"/>
            <w:vAlign w:val="top"/>
            <w:tcMar>
              <w:top w:w="70" w:type="dxa"/>
              <w:start w:w="90" w:type="dxa"/>
              <w:bottom w:w="70" w:type="dxa"/>
              <w:end w:w="90" w:type="dxa"/>
            </w:tcMar>
          </w:tcPr>
          <w:p>
            <w:pPr>
              <w:spacing w:after="0"/>
            </w:pPr>
            <w:r>
              <w:rPr>
                <w:sz w:val="16"/>
              </w:rPr>
              <w:t>Mirrors</w:t>
            </w:r>
          </w:p>
        </w:tc>
        <w:tc>
          <w:tcPr>
            <w:tcW w:type="dxa" w:w="8496"/>
            <w:shd w:fill="F5F7F9"/>
            <w:vAlign w:val="top"/>
            <w:tcMar>
              <w:top w:w="70" w:type="dxa"/>
              <w:start w:w="90" w:type="dxa"/>
              <w:bottom w:w="70" w:type="dxa"/>
              <w:end w:w="90" w:type="dxa"/>
            </w:tcMar>
          </w:tcPr>
          <w:p>
            <w:pPr>
              <w:spacing w:after="0"/>
            </w:pPr>
            <w:r>
              <w:rPr>
                <w:sz w:val="16"/>
              </w:rPr>
              <w:t>commented mirror validation for every moved package</w:t>
            </w:r>
          </w:p>
        </w:tc>
      </w:tr>
      <w:tr>
        <w:trPr>
          <w:cantSplit/>
        </w:trPr>
        <w:tc>
          <w:tcPr>
            <w:tcW w:type="dxa" w:w="2160"/>
            <w:vAlign w:val="top"/>
            <w:tcMar>
              <w:top w:w="70" w:type="dxa"/>
              <w:start w:w="90" w:type="dxa"/>
              <w:bottom w:w="70" w:type="dxa"/>
              <w:end w:w="90" w:type="dxa"/>
            </w:tcMar>
          </w:tcPr>
          <w:p>
            <w:pPr>
              <w:spacing w:after="0"/>
            </w:pPr>
            <w:r>
              <w:rPr>
                <w:sz w:val="16"/>
              </w:rPr>
              <w:t>Repository</w:t>
            </w:r>
          </w:p>
        </w:tc>
        <w:tc>
          <w:tcPr>
            <w:tcW w:type="dxa" w:w="8496"/>
            <w:vAlign w:val="top"/>
            <w:tcMar>
              <w:top w:w="70" w:type="dxa"/>
              <w:start w:w="90" w:type="dxa"/>
              <w:bottom w:w="70" w:type="dxa"/>
              <w:end w:w="90" w:type="dxa"/>
            </w:tcMar>
          </w:tcPr>
          <w:p>
            <w:pPr>
              <w:spacing w:after="0"/>
            </w:pPr>
            <w:r>
              <w:rPr>
                <w:sz w:val="16"/>
              </w:rPr>
              <w:t>CSS token validation, git diff --check, stale path/import search</w:t>
            </w:r>
          </w:p>
        </w:tc>
      </w:tr>
      <w:tr>
        <w:trPr>
          <w:cantSplit/>
        </w:trPr>
        <w:tc>
          <w:tcPr>
            <w:tcW w:type="dxa" w:w="2160"/>
            <w:shd w:fill="F5F7F9"/>
            <w:vAlign w:val="top"/>
            <w:tcMar>
              <w:top w:w="70" w:type="dxa"/>
              <w:start w:w="90" w:type="dxa"/>
              <w:bottom w:w="70" w:type="dxa"/>
              <w:end w:w="90" w:type="dxa"/>
            </w:tcMar>
          </w:tcPr>
          <w:p>
            <w:pPr>
              <w:spacing w:after="0"/>
            </w:pPr>
            <w:r>
              <w:rPr>
                <w:sz w:val="16"/>
              </w:rPr>
              <w:t>Contracts</w:t>
            </w:r>
          </w:p>
        </w:tc>
        <w:tc>
          <w:tcPr>
            <w:tcW w:type="dxa" w:w="8496"/>
            <w:shd w:fill="F5F7F9"/>
            <w:vAlign w:val="top"/>
            <w:tcMar>
              <w:top w:w="70" w:type="dxa"/>
              <w:start w:w="90" w:type="dxa"/>
              <w:bottom w:w="70" w:type="dxa"/>
              <w:end w:w="90" w:type="dxa"/>
            </w:tcMar>
          </w:tcPr>
          <w:p>
            <w:pPr>
              <w:spacing w:after="0"/>
            </w:pPr>
            <w:r>
              <w:rPr>
                <w:sz w:val="16"/>
              </w:rPr>
              <w:t>before/after serialization compatibility for frozen documents</w:t>
            </w:r>
          </w:p>
        </w:tc>
      </w:tr>
      <w:tr>
        <w:trPr>
          <w:cantSplit/>
        </w:trPr>
        <w:tc>
          <w:tcPr>
            <w:tcW w:type="dxa" w:w="2160"/>
            <w:vAlign w:val="top"/>
            <w:tcMar>
              <w:top w:w="70" w:type="dxa"/>
              <w:start w:w="90" w:type="dxa"/>
              <w:bottom w:w="70" w:type="dxa"/>
              <w:end w:w="90" w:type="dxa"/>
            </w:tcMar>
          </w:tcPr>
          <w:p>
            <w:pPr>
              <w:spacing w:after="0"/>
            </w:pPr>
            <w:r>
              <w:rPr>
                <w:sz w:val="16"/>
              </w:rPr>
              <w:t>Runtime</w:t>
            </w:r>
          </w:p>
        </w:tc>
        <w:tc>
          <w:tcPr>
            <w:tcW w:type="dxa" w:w="8496"/>
            <w:vAlign w:val="top"/>
            <w:tcMar>
              <w:top w:w="70" w:type="dxa"/>
              <w:start w:w="90" w:type="dxa"/>
              <w:bottom w:w="70" w:type="dxa"/>
              <w:end w:w="90" w:type="dxa"/>
            </w:tcMar>
          </w:tcPr>
          <w:p>
            <w:pPr>
              <w:spacing w:after="0"/>
            </w:pPr>
            <w:r>
              <w:rPr>
                <w:sz w:val="16"/>
              </w:rPr>
              <w:t>application composition/startup, import graph, projection/read path smoke</w:t>
            </w:r>
          </w:p>
        </w:tc>
      </w:tr>
      <w:tr>
        <w:trPr>
          <w:cantSplit/>
        </w:trPr>
        <w:tc>
          <w:tcPr>
            <w:tcW w:type="dxa" w:w="2160"/>
            <w:shd w:fill="F5F7F9"/>
            <w:vAlign w:val="top"/>
            <w:tcMar>
              <w:top w:w="70" w:type="dxa"/>
              <w:start w:w="90" w:type="dxa"/>
              <w:bottom w:w="70" w:type="dxa"/>
              <w:end w:w="90" w:type="dxa"/>
            </w:tcMar>
          </w:tcPr>
          <w:p>
            <w:pPr>
              <w:spacing w:after="0"/>
            </w:pPr>
            <w:r>
              <w:rPr>
                <w:sz w:val="16"/>
              </w:rPr>
              <w:t>Visual</w:t>
            </w:r>
          </w:p>
        </w:tc>
        <w:tc>
          <w:tcPr>
            <w:tcW w:type="dxa" w:w="8496"/>
            <w:shd w:fill="F5F7F9"/>
            <w:vAlign w:val="top"/>
            <w:tcMar>
              <w:top w:w="70" w:type="dxa"/>
              <w:start w:w="90" w:type="dxa"/>
              <w:bottom w:w="70" w:type="dxa"/>
              <w:end w:w="90" w:type="dxa"/>
            </w:tcMar>
          </w:tcPr>
          <w:p>
            <w:pPr>
              <w:spacing w:after="0"/>
            </w:pPr>
            <w:r>
              <w:rPr>
                <w:sz w:val="16"/>
              </w:rPr>
              <w:t>targeted UI smoke for Manager/operational surfaces touched by moves</w:t>
            </w:r>
          </w:p>
        </w:tc>
      </w:tr>
    </w:tbl>
    <w:p/>
    <w:p>
      <w:pPr>
        <w:pStyle w:val="Heading2"/>
      </w:pPr>
      <w:r>
        <w:t>7.2 Contract regression matrix</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173A5E"/>
            <w:vAlign w:val="center"/>
            <w:tcMar>
              <w:top w:w="80" w:type="dxa"/>
              <w:start w:w="90" w:type="dxa"/>
              <w:bottom w:w="80" w:type="dxa"/>
              <w:end w:w="90" w:type="dxa"/>
            </w:tcMar>
          </w:tcPr>
          <w:p>
            <w:r>
              <w:rPr>
                <w:b/>
                <w:color w:val="FFFFFF"/>
                <w:sz w:val="17"/>
              </w:rPr>
              <w:t>Contract area</w:t>
            </w:r>
          </w:p>
        </w:tc>
        <w:tc>
          <w:tcPr>
            <w:tcW w:type="dxa" w:w="7632"/>
            <w:shd w:fill="173A5E"/>
            <w:vAlign w:val="center"/>
            <w:tcMar>
              <w:top w:w="80" w:type="dxa"/>
              <w:start w:w="90" w:type="dxa"/>
              <w:bottom w:w="80" w:type="dxa"/>
              <w:end w:w="90" w:type="dxa"/>
            </w:tcMar>
          </w:tcPr>
          <w:p>
            <w:r>
              <w:rPr>
                <w:b/>
                <w:color w:val="FFFFFF"/>
                <w:sz w:val="17"/>
              </w:rPr>
              <w:t>Must remain true</w:t>
            </w:r>
          </w:p>
        </w:tc>
      </w:tr>
      <w:tr>
        <w:trPr>
          <w:cantSplit/>
        </w:trPr>
        <w:tc>
          <w:tcPr>
            <w:tcW w:type="dxa" w:w="3024"/>
            <w:vAlign w:val="top"/>
            <w:tcMar>
              <w:top w:w="70" w:type="dxa"/>
              <w:start w:w="90" w:type="dxa"/>
              <w:bottom w:w="70" w:type="dxa"/>
              <w:end w:w="90" w:type="dxa"/>
            </w:tcMar>
          </w:tcPr>
          <w:p>
            <w:pPr>
              <w:spacing w:after="0"/>
            </w:pPr>
            <w:r>
              <w:rPr>
                <w:sz w:val="16"/>
              </w:rPr>
              <w:t>Tool identity</w:t>
            </w:r>
          </w:p>
        </w:tc>
        <w:tc>
          <w:tcPr>
            <w:tcW w:type="dxa" w:w="7632"/>
            <w:vAlign w:val="top"/>
            <w:tcMar>
              <w:top w:w="70" w:type="dxa"/>
              <w:start w:w="90" w:type="dxa"/>
              <w:bottom w:w="70" w:type="dxa"/>
              <w:end w:w="90" w:type="dxa"/>
            </w:tcMar>
          </w:tcPr>
          <w:p>
            <w:pPr>
              <w:spacing w:after="0"/>
            </w:pPr>
            <w:r>
              <w:rPr>
                <w:sz w:val="16"/>
              </w:rPr>
              <w:t>Rename/scope edits preserve tool_key</w:t>
            </w:r>
          </w:p>
        </w:tc>
      </w:tr>
      <w:tr>
        <w:trPr>
          <w:cantSplit/>
        </w:trPr>
        <w:tc>
          <w:tcPr>
            <w:tcW w:type="dxa" w:w="3024"/>
            <w:shd w:fill="F5F7F9"/>
            <w:vAlign w:val="top"/>
            <w:tcMar>
              <w:top w:w="70" w:type="dxa"/>
              <w:start w:w="90" w:type="dxa"/>
              <w:bottom w:w="70" w:type="dxa"/>
              <w:end w:w="90" w:type="dxa"/>
            </w:tcMar>
          </w:tcPr>
          <w:p>
            <w:pPr>
              <w:spacing w:after="0"/>
            </w:pPr>
            <w:r>
              <w:rPr>
                <w:sz w:val="16"/>
              </w:rPr>
              <w:t>Component identity</w:t>
            </w:r>
          </w:p>
        </w:tc>
        <w:tc>
          <w:tcPr>
            <w:tcW w:type="dxa" w:w="7632"/>
            <w:shd w:fill="F5F7F9"/>
            <w:vAlign w:val="top"/>
            <w:tcMar>
              <w:top w:w="70" w:type="dxa"/>
              <w:start w:w="90" w:type="dxa"/>
              <w:bottom w:w="70" w:type="dxa"/>
              <w:end w:w="90" w:type="dxa"/>
            </w:tcMar>
          </w:tcPr>
          <w:p>
            <w:pPr>
              <w:spacing w:after="0"/>
            </w:pPr>
            <w:r>
              <w:rPr>
                <w:sz w:val="16"/>
              </w:rPr>
              <w:t>Rename/scope edits preserve component_key</w:t>
            </w:r>
          </w:p>
        </w:tc>
      </w:tr>
      <w:tr>
        <w:trPr>
          <w:cantSplit/>
        </w:trPr>
        <w:tc>
          <w:tcPr>
            <w:tcW w:type="dxa" w:w="3024"/>
            <w:vAlign w:val="top"/>
            <w:tcMar>
              <w:top w:w="70" w:type="dxa"/>
              <w:start w:w="90" w:type="dxa"/>
              <w:bottom w:w="70" w:type="dxa"/>
              <w:end w:w="90" w:type="dxa"/>
            </w:tcMar>
          </w:tcPr>
          <w:p>
            <w:pPr>
              <w:spacing w:after="0"/>
            </w:pPr>
            <w:r>
              <w:rPr>
                <w:sz w:val="16"/>
              </w:rPr>
              <w:t>Subcomponent identity</w:t>
            </w:r>
          </w:p>
        </w:tc>
        <w:tc>
          <w:tcPr>
            <w:tcW w:type="dxa" w:w="7632"/>
            <w:vAlign w:val="top"/>
            <w:tcMar>
              <w:top w:w="70" w:type="dxa"/>
              <w:start w:w="90" w:type="dxa"/>
              <w:bottom w:w="70" w:type="dxa"/>
              <w:end w:w="90" w:type="dxa"/>
            </w:tcMar>
          </w:tcPr>
          <w:p>
            <w:pPr>
              <w:spacing w:after="0"/>
            </w:pPr>
            <w:r>
              <w:rPr>
                <w:sz w:val="16"/>
              </w:rPr>
              <w:t>Rename preserves subcomponent_key</w:t>
            </w:r>
          </w:p>
        </w:tc>
      </w:tr>
      <w:tr>
        <w:trPr>
          <w:cantSplit/>
        </w:trPr>
        <w:tc>
          <w:tcPr>
            <w:tcW w:type="dxa" w:w="3024"/>
            <w:shd w:fill="F5F7F9"/>
            <w:vAlign w:val="top"/>
            <w:tcMar>
              <w:top w:w="70" w:type="dxa"/>
              <w:start w:w="90" w:type="dxa"/>
              <w:bottom w:w="70" w:type="dxa"/>
              <w:end w:w="90" w:type="dxa"/>
            </w:tcMar>
          </w:tcPr>
          <w:p>
            <w:pPr>
              <w:spacing w:after="0"/>
            </w:pPr>
            <w:r>
              <w:rPr>
                <w:sz w:val="16"/>
              </w:rPr>
              <w:t>Process scope</w:t>
            </w:r>
          </w:p>
        </w:tc>
        <w:tc>
          <w:tcPr>
            <w:tcW w:type="dxa" w:w="7632"/>
            <w:shd w:fill="F5F7F9"/>
            <w:vAlign w:val="top"/>
            <w:tcMar>
              <w:top w:w="70" w:type="dxa"/>
              <w:start w:w="90" w:type="dxa"/>
              <w:bottom w:w="70" w:type="dxa"/>
              <w:end w:w="90" w:type="dxa"/>
            </w:tcMar>
          </w:tcPr>
          <w:p>
            <w:pPr>
              <w:spacing w:after="0"/>
            </w:pPr>
            <w:r>
              <w:rPr>
                <w:sz w:val="16"/>
              </w:rPr>
              <w:t>Root scope is required default; component override remains optional/canonicalized</w:t>
            </w:r>
          </w:p>
        </w:tc>
      </w:tr>
      <w:tr>
        <w:trPr>
          <w:cantSplit/>
        </w:trPr>
        <w:tc>
          <w:tcPr>
            <w:tcW w:type="dxa" w:w="3024"/>
            <w:vAlign w:val="top"/>
            <w:tcMar>
              <w:top w:w="70" w:type="dxa"/>
              <w:start w:w="90" w:type="dxa"/>
              <w:bottom w:w="70" w:type="dxa"/>
              <w:end w:w="90" w:type="dxa"/>
            </w:tcMar>
          </w:tcPr>
          <w:p>
            <w:pPr>
              <w:spacing w:after="0"/>
            </w:pPr>
            <w:r>
              <w:rPr>
                <w:sz w:val="16"/>
              </w:rPr>
              <w:t>Integrated scope</w:t>
            </w:r>
          </w:p>
        </w:tc>
        <w:tc>
          <w:tcPr>
            <w:tcW w:type="dxa" w:w="7632"/>
            <w:vAlign w:val="top"/>
            <w:tcMar>
              <w:top w:w="70" w:type="dxa"/>
              <w:start w:w="90" w:type="dxa"/>
              <w:bottom w:w="70" w:type="dxa"/>
              <w:end w:w="90" w:type="dxa"/>
            </w:tcMar>
          </w:tcPr>
          <w:p>
            <w:pPr>
              <w:spacing w:after="0"/>
            </w:pPr>
            <w:r>
              <w:rPr>
                <w:sz w:val="16"/>
              </w:rPr>
              <w:t>Each component explicit mine/plant; mine-only, plant-only and mixed topologies remain valid</w:t>
            </w:r>
          </w:p>
        </w:tc>
      </w:tr>
      <w:tr>
        <w:trPr>
          <w:cantSplit/>
        </w:trPr>
        <w:tc>
          <w:tcPr>
            <w:tcW w:type="dxa" w:w="3024"/>
            <w:shd w:fill="F5F7F9"/>
            <w:vAlign w:val="top"/>
            <w:tcMar>
              <w:top w:w="70" w:type="dxa"/>
              <w:start w:w="90" w:type="dxa"/>
              <w:bottom w:w="70" w:type="dxa"/>
              <w:end w:w="90" w:type="dxa"/>
            </w:tcMar>
          </w:tcPr>
          <w:p>
            <w:pPr>
              <w:spacing w:after="0"/>
            </w:pPr>
            <w:r>
              <w:rPr>
                <w:sz w:val="16"/>
              </w:rPr>
              <w:t>Tool projection</w:t>
            </w:r>
          </w:p>
        </w:tc>
        <w:tc>
          <w:tcPr>
            <w:tcW w:type="dxa" w:w="7632"/>
            <w:shd w:fill="F5F7F9"/>
            <w:vAlign w:val="top"/>
            <w:tcMar>
              <w:top w:w="70" w:type="dxa"/>
              <w:start w:w="90" w:type="dxa"/>
              <w:bottom w:w="70" w:type="dxa"/>
              <w:end w:w="90" w:type="dxa"/>
            </w:tcMar>
          </w:tcPr>
          <w:p>
            <w:pPr>
              <w:spacing w:after="0"/>
            </w:pPr>
            <w:r>
              <w:rPr>
                <w:sz w:val="16"/>
              </w:rPr>
              <w:t>Downstream destination/component consumers see the same semantic keys</w:t>
            </w:r>
          </w:p>
        </w:tc>
      </w:tr>
      <w:tr>
        <w:trPr>
          <w:cantSplit/>
        </w:trPr>
        <w:tc>
          <w:tcPr>
            <w:tcW w:type="dxa" w:w="3024"/>
            <w:vAlign w:val="top"/>
            <w:tcMar>
              <w:top w:w="70" w:type="dxa"/>
              <w:start w:w="90" w:type="dxa"/>
              <w:bottom w:w="70" w:type="dxa"/>
              <w:end w:w="90" w:type="dxa"/>
            </w:tcMar>
          </w:tcPr>
          <w:p>
            <w:pPr>
              <w:spacing w:after="0"/>
            </w:pPr>
            <w:r>
              <w:rPr>
                <w:sz w:val="16"/>
              </w:rPr>
              <w:t>Component store</w:t>
            </w:r>
          </w:p>
        </w:tc>
        <w:tc>
          <w:tcPr>
            <w:tcW w:type="dxa" w:w="7632"/>
            <w:vAlign w:val="top"/>
            <w:tcMar>
              <w:top w:w="70" w:type="dxa"/>
              <w:start w:w="90" w:type="dxa"/>
              <w:bottom w:w="70" w:type="dxa"/>
              <w:end w:w="90" w:type="dxa"/>
            </w:tcMar>
          </w:tcPr>
          <w:p>
            <w:pPr>
              <w:spacing w:after="0"/>
            </w:pPr>
            <w:r>
              <w:rPr>
                <w:sz w:val="16"/>
              </w:rPr>
              <w:t>Store snapshots still address exact tool_key/component_key</w:t>
            </w:r>
          </w:p>
        </w:tc>
      </w:tr>
      <w:tr>
        <w:trPr>
          <w:cantSplit/>
        </w:trPr>
        <w:tc>
          <w:tcPr>
            <w:tcW w:type="dxa" w:w="3024"/>
            <w:shd w:fill="F5F7F9"/>
            <w:vAlign w:val="top"/>
            <w:tcMar>
              <w:top w:w="70" w:type="dxa"/>
              <w:start w:w="90" w:type="dxa"/>
              <w:bottom w:w="70" w:type="dxa"/>
              <w:end w:w="90" w:type="dxa"/>
            </w:tcMar>
          </w:tcPr>
          <w:p>
            <w:pPr>
              <w:spacing w:after="0"/>
            </w:pPr>
            <w:r>
              <w:rPr>
                <w:sz w:val="16"/>
              </w:rPr>
              <w:t>Component delivery</w:t>
            </w:r>
          </w:p>
        </w:tc>
        <w:tc>
          <w:tcPr>
            <w:tcW w:type="dxa" w:w="7632"/>
            <w:shd w:fill="F5F7F9"/>
            <w:vAlign w:val="top"/>
            <w:tcMar>
              <w:top w:w="70" w:type="dxa"/>
              <w:start w:w="90" w:type="dxa"/>
              <w:bottom w:w="70" w:type="dxa"/>
              <w:end w:w="90" w:type="dxa"/>
            </w:tcMar>
          </w:tcPr>
          <w:p>
            <w:pPr>
              <w:spacing w:after="0"/>
            </w:pPr>
            <w:r>
              <w:rPr>
                <w:sz w:val="16"/>
              </w:rPr>
              <w:t>Delivery does not translate semantic identity</w:t>
            </w:r>
          </w:p>
        </w:tc>
      </w:tr>
      <w:tr>
        <w:trPr>
          <w:cantSplit/>
        </w:trPr>
        <w:tc>
          <w:tcPr>
            <w:tcW w:type="dxa" w:w="3024"/>
            <w:vAlign w:val="top"/>
            <w:tcMar>
              <w:top w:w="70" w:type="dxa"/>
              <w:start w:w="90" w:type="dxa"/>
              <w:bottom w:w="70" w:type="dxa"/>
              <w:end w:w="90" w:type="dxa"/>
            </w:tcMar>
          </w:tcPr>
          <w:p>
            <w:pPr>
              <w:spacing w:after="0"/>
            </w:pPr>
            <w:r>
              <w:rPr>
                <w:sz w:val="16"/>
              </w:rPr>
              <w:t>KPI destination bridge</w:t>
            </w:r>
          </w:p>
        </w:tc>
        <w:tc>
          <w:tcPr>
            <w:tcW w:type="dxa" w:w="7632"/>
            <w:vAlign w:val="top"/>
            <w:tcMar>
              <w:top w:w="70" w:type="dxa"/>
              <w:start w:w="90" w:type="dxa"/>
              <w:bottom w:w="70" w:type="dxa"/>
              <w:end w:w="90" w:type="dxa"/>
            </w:tcMar>
          </w:tcPr>
          <w:p>
            <w:pPr>
              <w:spacing w:after="0"/>
            </w:pPr>
            <w:r>
              <w:rPr>
                <w:sz w:val="16"/>
              </w:rPr>
              <w:t>Component destination_key remains component_key</w:t>
            </w:r>
          </w:p>
        </w:tc>
      </w:tr>
      <w:tr>
        <w:trPr>
          <w:cantSplit/>
        </w:trPr>
        <w:tc>
          <w:tcPr>
            <w:tcW w:type="dxa" w:w="3024"/>
            <w:shd w:fill="F5F7F9"/>
            <w:vAlign w:val="top"/>
            <w:tcMar>
              <w:top w:w="70" w:type="dxa"/>
              <w:start w:w="90" w:type="dxa"/>
              <w:bottom w:w="70" w:type="dxa"/>
              <w:end w:w="90" w:type="dxa"/>
            </w:tcMar>
          </w:tcPr>
          <w:p>
            <w:pPr>
              <w:spacing w:after="0"/>
            </w:pPr>
            <w:r>
              <w:rPr>
                <w:sz w:val="16"/>
              </w:rPr>
              <w:t>Time Status</w:t>
            </w:r>
          </w:p>
        </w:tc>
        <w:tc>
          <w:tcPr>
            <w:tcW w:type="dxa" w:w="7632"/>
            <w:shd w:fill="F5F7F9"/>
            <w:vAlign w:val="top"/>
            <w:tcMar>
              <w:top w:w="70" w:type="dxa"/>
              <w:start w:w="90" w:type="dxa"/>
              <w:bottom w:w="70" w:type="dxa"/>
              <w:end w:w="90" w:type="dxa"/>
            </w:tcMar>
          </w:tcPr>
          <w:p>
            <w:pPr>
              <w:spacing w:after="0"/>
            </w:pPr>
            <w:r>
              <w:rPr>
                <w:sz w:val="16"/>
              </w:rPr>
              <w:t>Existing operational timestamps/state/rendering remain equivalent</w:t>
            </w:r>
          </w:p>
        </w:tc>
      </w:tr>
      <w:tr>
        <w:trPr>
          <w:cantSplit/>
        </w:trPr>
        <w:tc>
          <w:tcPr>
            <w:tcW w:type="dxa" w:w="3024"/>
            <w:vAlign w:val="top"/>
            <w:tcMar>
              <w:top w:w="70" w:type="dxa"/>
              <w:start w:w="90" w:type="dxa"/>
              <w:bottom w:w="70" w:type="dxa"/>
              <w:end w:w="90" w:type="dxa"/>
            </w:tcMar>
          </w:tcPr>
          <w:p>
            <w:pPr>
              <w:spacing w:after="0"/>
            </w:pPr>
            <w:r>
              <w:rPr>
                <w:sz w:val="16"/>
              </w:rPr>
              <w:t>Inspection</w:t>
            </w:r>
          </w:p>
        </w:tc>
        <w:tc>
          <w:tcPr>
            <w:tcW w:type="dxa" w:w="7632"/>
            <w:vAlign w:val="top"/>
            <w:tcMar>
              <w:top w:w="70" w:type="dxa"/>
              <w:start w:w="90" w:type="dxa"/>
              <w:bottom w:w="70" w:type="dxa"/>
              <w:end w:w="90" w:type="dxa"/>
            </w:tcMar>
          </w:tcPr>
          <w:p>
            <w:pPr>
              <w:spacing w:after="0"/>
            </w:pPr>
            <w:r>
              <w:rPr>
                <w:sz w:val="16"/>
              </w:rPr>
              <w:t>Public inspection contracts and runtime behavior remain equivalent</w:t>
            </w:r>
          </w:p>
        </w:tc>
      </w:tr>
      <w:tr>
        <w:trPr>
          <w:cantSplit/>
        </w:trPr>
        <w:tc>
          <w:tcPr>
            <w:tcW w:type="dxa" w:w="3024"/>
            <w:shd w:fill="F5F7F9"/>
            <w:vAlign w:val="top"/>
            <w:tcMar>
              <w:top w:w="70" w:type="dxa"/>
              <w:start w:w="90" w:type="dxa"/>
              <w:bottom w:w="70" w:type="dxa"/>
              <w:end w:w="90" w:type="dxa"/>
            </w:tcMar>
          </w:tcPr>
          <w:p>
            <w:pPr>
              <w:spacing w:after="0"/>
            </w:pPr>
            <w:r>
              <w:rPr>
                <w:sz w:val="16"/>
              </w:rPr>
              <w:t>Manager</w:t>
            </w:r>
          </w:p>
        </w:tc>
        <w:tc>
          <w:tcPr>
            <w:tcW w:type="dxa" w:w="7632"/>
            <w:shd w:fill="F5F7F9"/>
            <w:vAlign w:val="top"/>
            <w:tcMar>
              <w:top w:w="70" w:type="dxa"/>
              <w:start w:w="90" w:type="dxa"/>
              <w:bottom w:w="70" w:type="dxa"/>
              <w:end w:w="90" w:type="dxa"/>
            </w:tcMar>
          </w:tcPr>
          <w:p>
            <w:pPr>
              <w:spacing w:after="0"/>
            </w:pPr>
            <w:r>
              <w:rPr>
                <w:sz w:val="16"/>
              </w:rPr>
              <w:t>Host still composes independent modules and does not absorb domain logic</w:t>
            </w:r>
          </w:p>
        </w:tc>
      </w:tr>
    </w:tbl>
    <w:p/>
    <w:p>
      <w:pPr>
        <w:pStyle w:val="Heading2"/>
      </w:pPr>
      <w:r>
        <w:t>7.3 Stale-reference checks</w:t>
      </w:r>
    </w:p>
    <w:p>
      <w:pPr>
        <w:pStyle w:val="ListBullet"/>
        <w:spacing w:after="40"/>
      </w:pPr>
      <w:r>
        <w:t>Search for old package names after each increment.</w:t>
      </w:r>
    </w:p>
    <w:p>
      <w:pPr>
        <w:pStyle w:val="ListBullet"/>
        <w:spacing w:after="40"/>
      </w:pPr>
      <w:r>
        <w:t>Search for old physical paths in pyproject.toml and UV source declarations.</w:t>
      </w:r>
    </w:p>
    <w:p>
      <w:pPr>
        <w:pStyle w:val="ListBullet"/>
        <w:spacing w:after="40"/>
      </w:pPr>
      <w:r>
        <w:t>Search for tests importing removed namespaces.</w:t>
      </w:r>
    </w:p>
    <w:p>
      <w:pPr>
        <w:pStyle w:val="ListBullet"/>
        <w:spacing w:after="40"/>
      </w:pPr>
      <w:r>
        <w:t>Search for application composition still referencing old wheels.</w:t>
      </w:r>
    </w:p>
    <w:p>
      <w:pPr>
        <w:pStyle w:val="ListBullet"/>
        <w:spacing w:after="40"/>
      </w:pPr>
      <w:r>
        <w:t>Search for mirror paths excluded from validation.</w:t>
      </w:r>
    </w:p>
    <w:p>
      <w:pPr>
        <w:pStyle w:val="ListBullet"/>
        <w:spacing w:after="40"/>
      </w:pPr>
      <w:r>
        <w:t>Search for lock files/packages that became orphaned.</w:t>
      </w:r>
    </w:p>
    <w:p>
      <w:pPr>
        <w:pStyle w:val="Heading2"/>
      </w:pPr>
      <w:r>
        <w:t>7.4 No silent compatibility drift</w:t>
      </w:r>
    </w:p>
    <w:tbl>
      <w:tblPr>
        <w:tblW w:type="auto" w:w="0"/>
        <w:jc w:val="center"/>
        <w:tblLook w:firstColumn="1" w:firstRow="1" w:lastColumn="0" w:lastRow="0" w:noHBand="0" w:noVBand="1" w:val="04A0"/>
      </w:tblPr>
      <w:tblGrid>
        <w:gridCol w:w="10166"/>
      </w:tblGrid>
      <w:tr>
        <w:trPr>
          <w:tblHeader w:val="true"/>
          <w:cantSplit/>
        </w:trPr>
        <w:tc>
          <w:tcPr>
            <w:tcW w:type="dxa" w:w="10166"/>
            <w:shd w:fill="FDEEEE"/>
            <w:tcMar>
              <w:top w:w="120" w:type="dxa"/>
              <w:start w:w="150" w:type="dxa"/>
              <w:bottom w:w="120" w:type="dxa"/>
              <w:end w:w="150" w:type="dxa"/>
            </w:tcMar>
          </w:tcPr>
          <w:p>
            <w:r>
              <w:rPr>
                <w:b/>
                <w:color w:val="B3261E"/>
                <w:sz w:val="20"/>
              </w:rPr>
              <w:t>Migration safety</w:t>
            </w:r>
          </w:p>
          <w:p>
            <w:pPr>
              <w:spacing w:after="0"/>
            </w:pPr>
            <w:r>
              <w:rPr>
                <w:sz w:val="18"/>
              </w:rPr>
              <w:t>Do not add hidden aliases, duplicate IDs, automatic key translation, or temporary semantic adapters unless an external consumer genuinely requires them. The preferred migration is atomic inside the repository: update consumers, remove old boundary, qualify.</w:t>
            </w:r>
          </w:p>
        </w:tc>
      </w:tr>
    </w:tbl>
    <w:p/>
    <w:p>
      <w:pPr>
        <w:pStyle w:val="Heading1"/>
      </w:pPr>
      <w:r>
        <w:t>8. Branding consolidation and variant capability</w:t>
      </w:r>
    </w:p>
    <w:p>
      <w:r>
        <w:t>Branding is a transversal ADA Web capability and should become its own domain rather than remain split between `configuration/branding` and `ui/branding`.</w:t>
      </w:r>
    </w:p>
    <w:p>
      <w:pPr>
        <w:pStyle w:val="CodeBlock"/>
        <w:keepLines/>
        <w:shd w:fill="F5F7F9"/>
      </w:pPr>
      <w:r>
        <w:rPr>
          <w:rFonts w:ascii="Cascadia Mono" w:hAnsi="Cascadia Mono"/>
          <w:sz w:val="17"/>
        </w:rPr>
        <w:t>branding/</w:t>
        <w:br/>
        <w:t>├── models.py</w:t>
        <w:br/>
        <w:t>├── resolver.py</w:t>
        <w:br/>
        <w:t>├── web/</w:t>
        <w:br/>
        <w:t>│   ├── models.py</w:t>
        <w:br/>
        <w:t>│   ├── presentation.py</w:t>
        <w:br/>
        <w:t>│   └── module.py</w:t>
        <w:br/>
        <w:t>└── resources/</w:t>
        <w:br/>
        <w:t xml:space="preserve">    ├── css/</w:t>
        <w:br/>
        <w:t xml:space="preserve">    └── img/</w:t>
      </w:r>
    </w:p>
    <w:p>
      <w:pPr>
        <w:pStyle w:val="Heading2"/>
      </w:pPr>
      <w:r>
        <w:t>8.1 Persisted contract</w:t>
      </w:r>
    </w:p>
    <w:p>
      <w:r>
        <w:t>The persisted configuration stays small and stable. Existing value `original` is retained for compatibility and presented in the UI as “Normal”.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600"/>
            <w:shd w:fill="173A5E"/>
            <w:vAlign w:val="center"/>
            <w:tcMar>
              <w:top w:w="80" w:type="dxa"/>
              <w:start w:w="90" w:type="dxa"/>
              <w:bottom w:w="80" w:type="dxa"/>
              <w:end w:w="90" w:type="dxa"/>
            </w:tcMar>
          </w:tcPr>
          <w:p>
            <w:r>
              <w:rPr>
                <w:b/>
                <w:color w:val="FFFFFF"/>
                <w:sz w:val="17"/>
              </w:rPr>
              <w:t>Persisted value</w:t>
            </w:r>
          </w:p>
        </w:tc>
        <w:tc>
          <w:tcPr>
            <w:tcW w:type="dxa" w:w="6768"/>
            <w:shd w:fill="173A5E"/>
            <w:vAlign w:val="center"/>
            <w:tcMar>
              <w:top w:w="80" w:type="dxa"/>
              <w:start w:w="90" w:type="dxa"/>
              <w:bottom w:w="80" w:type="dxa"/>
              <w:end w:w="90" w:type="dxa"/>
            </w:tcMar>
          </w:tcPr>
          <w:p>
            <w:r>
              <w:rPr>
                <w:b/>
                <w:color w:val="FFFFFF"/>
                <w:sz w:val="17"/>
              </w:rPr>
              <w:t>Display label</w:t>
            </w:r>
          </w:p>
        </w:tc>
      </w:tr>
      <w:tr>
        <w:trPr>
          <w:cantSplit/>
        </w:trPr>
        <w:tc>
          <w:tcPr>
            <w:tcW w:type="dxa" w:w="3600"/>
            <w:vAlign w:val="top"/>
            <w:tcMar>
              <w:top w:w="70" w:type="dxa"/>
              <w:start w:w="90" w:type="dxa"/>
              <w:bottom w:w="70" w:type="dxa"/>
              <w:end w:w="90" w:type="dxa"/>
            </w:tcMar>
          </w:tcPr>
          <w:p>
            <w:pPr>
              <w:spacing w:after="0"/>
            </w:pPr>
            <w:r>
              <w:rPr>
                <w:sz w:val="16"/>
              </w:rPr>
              <w:t>original</w:t>
            </w:r>
          </w:p>
        </w:tc>
        <w:tc>
          <w:tcPr>
            <w:tcW w:type="dxa" w:w="6768"/>
            <w:vAlign w:val="top"/>
            <w:tcMar>
              <w:top w:w="70" w:type="dxa"/>
              <w:start w:w="90" w:type="dxa"/>
              <w:bottom w:w="70" w:type="dxa"/>
              <w:end w:w="90" w:type="dxa"/>
            </w:tcMar>
          </w:tcPr>
          <w:p>
            <w:pPr>
              <w:spacing w:after="0"/>
            </w:pPr>
            <w:r>
              <w:rPr>
                <w:sz w:val="16"/>
              </w:rPr>
              <w:t>Normal</w:t>
            </w:r>
          </w:p>
        </w:tc>
      </w:tr>
      <w:tr>
        <w:trPr>
          <w:cantSplit/>
        </w:trPr>
        <w:tc>
          <w:tcPr>
            <w:tcW w:type="dxa" w:w="3600"/>
            <w:shd w:fill="F5F7F9"/>
            <w:vAlign w:val="top"/>
            <w:tcMar>
              <w:top w:w="70" w:type="dxa"/>
              <w:start w:w="90" w:type="dxa"/>
              <w:bottom w:w="70" w:type="dxa"/>
              <w:end w:w="90" w:type="dxa"/>
            </w:tcMar>
          </w:tcPr>
          <w:p>
            <w:pPr>
              <w:spacing w:after="0"/>
            </w:pPr>
            <w:r>
              <w:rPr>
                <w:sz w:val="16"/>
              </w:rPr>
              <w:t>mining_month</w:t>
            </w:r>
          </w:p>
        </w:tc>
        <w:tc>
          <w:tcPr>
            <w:tcW w:type="dxa" w:w="6768"/>
            <w:shd w:fill="F5F7F9"/>
            <w:vAlign w:val="top"/>
            <w:tcMar>
              <w:top w:w="70" w:type="dxa"/>
              <w:start w:w="90" w:type="dxa"/>
              <w:bottom w:w="70" w:type="dxa"/>
              <w:end w:w="90" w:type="dxa"/>
            </w:tcMar>
          </w:tcPr>
          <w:p>
            <w:pPr>
              <w:spacing w:after="0"/>
            </w:pPr>
            <w:r>
              <w:rPr>
                <w:sz w:val="16"/>
              </w:rPr>
              <w:t>Mes de la Minería</w:t>
            </w:r>
          </w:p>
        </w:tc>
      </w:tr>
      <w:tr>
        <w:trPr>
          <w:cantSplit/>
        </w:trPr>
        <w:tc>
          <w:tcPr>
            <w:tcW w:type="dxa" w:w="3600"/>
            <w:vAlign w:val="top"/>
            <w:tcMar>
              <w:top w:w="70" w:type="dxa"/>
              <w:start w:w="90" w:type="dxa"/>
              <w:bottom w:w="70" w:type="dxa"/>
              <w:end w:w="90" w:type="dxa"/>
            </w:tcMar>
          </w:tcPr>
          <w:p>
            <w:pPr>
              <w:spacing w:after="0"/>
            </w:pPr>
            <w:r>
              <w:rPr>
                <w:sz w:val="16"/>
              </w:rPr>
              <w:t>fiestas_patrias</w:t>
            </w:r>
          </w:p>
        </w:tc>
        <w:tc>
          <w:tcPr>
            <w:tcW w:type="dxa" w:w="6768"/>
            <w:vAlign w:val="top"/>
            <w:tcMar>
              <w:top w:w="70" w:type="dxa"/>
              <w:start w:w="90" w:type="dxa"/>
              <w:bottom w:w="70" w:type="dxa"/>
              <w:end w:w="90" w:type="dxa"/>
            </w:tcMar>
          </w:tcPr>
          <w:p>
            <w:pPr>
              <w:spacing w:after="0"/>
            </w:pPr>
            <w:r>
              <w:rPr>
                <w:sz w:val="16"/>
              </w:rPr>
              <w:t>Fiestas Patrias</w:t>
            </w:r>
          </w:p>
        </w:tc>
      </w:tr>
      <w:tr>
        <w:trPr>
          <w:cantSplit/>
        </w:trPr>
        <w:tc>
          <w:tcPr>
            <w:tcW w:type="dxa" w:w="3600"/>
            <w:shd w:fill="F5F7F9"/>
            <w:vAlign w:val="top"/>
            <w:tcMar>
              <w:top w:w="70" w:type="dxa"/>
              <w:start w:w="90" w:type="dxa"/>
              <w:bottom w:w="70" w:type="dxa"/>
              <w:end w:w="90" w:type="dxa"/>
            </w:tcMar>
          </w:tcPr>
          <w:p>
            <w:pPr>
              <w:spacing w:after="0"/>
            </w:pPr>
            <w:r>
              <w:rPr>
                <w:sz w:val="16"/>
              </w:rPr>
              <w:t>christmas</w:t>
            </w:r>
          </w:p>
        </w:tc>
        <w:tc>
          <w:tcPr>
            <w:tcW w:type="dxa" w:w="6768"/>
            <w:shd w:fill="F5F7F9"/>
            <w:vAlign w:val="top"/>
            <w:tcMar>
              <w:top w:w="70" w:type="dxa"/>
              <w:start w:w="90" w:type="dxa"/>
              <w:bottom w:w="70" w:type="dxa"/>
              <w:end w:w="90" w:type="dxa"/>
            </w:tcMar>
          </w:tcPr>
          <w:p>
            <w:pPr>
              <w:spacing w:after="0"/>
            </w:pPr>
            <w:r>
              <w:rPr>
                <w:sz w:val="16"/>
              </w:rPr>
              <w:t>Navidad</w:t>
            </w:r>
          </w:p>
        </w:tc>
      </w:tr>
      <w:tr>
        <w:trPr>
          <w:cantSplit/>
        </w:trPr>
        <w:tc>
          <w:tcPr>
            <w:tcW w:type="dxa" w:w="3600"/>
            <w:vAlign w:val="top"/>
            <w:tcMar>
              <w:top w:w="70" w:type="dxa"/>
              <w:start w:w="90" w:type="dxa"/>
              <w:bottom w:w="70" w:type="dxa"/>
              <w:end w:w="90" w:type="dxa"/>
            </w:tcMar>
          </w:tcPr>
          <w:p>
            <w:pPr>
              <w:spacing w:after="0"/>
            </w:pPr>
            <w:r>
              <w:rPr>
                <w:sz w:val="16"/>
              </w:rPr>
              <w:t>new_year</w:t>
            </w:r>
          </w:p>
        </w:tc>
        <w:tc>
          <w:tcPr>
            <w:tcW w:type="dxa" w:w="6768"/>
            <w:vAlign w:val="top"/>
            <w:tcMar>
              <w:top w:w="70" w:type="dxa"/>
              <w:start w:w="90" w:type="dxa"/>
              <w:bottom w:w="70" w:type="dxa"/>
              <w:end w:w="90" w:type="dxa"/>
            </w:tcMar>
          </w:tcPr>
          <w:p>
            <w:pPr>
              <w:spacing w:after="0"/>
            </w:pPr>
            <w:r>
              <w:rPr>
                <w:sz w:val="16"/>
              </w:rPr>
              <w:t>Año Nuevo</w:t>
            </w:r>
          </w:p>
        </w:tc>
      </w:tr>
    </w:tbl>
    <w:p/>
    <w:p>
      <w:pPr>
        <w:pStyle w:val="Heading2"/>
      </w:pPr>
      <w:r>
        <w:t>8.2 Asset resolution</w:t>
      </w:r>
    </w:p>
    <w:p>
      <w:pPr>
        <w:pStyle w:val="CodeBlock"/>
        <w:keepLines/>
        <w:shd w:fill="F5F7F9"/>
      </w:pPr>
      <w:r>
        <w:rPr>
          <w:rFonts w:ascii="Cascadia Mono" w:hAnsi="Cascadia Mono"/>
          <w:sz w:val="17"/>
        </w:rPr>
        <w:t>BrandingConfiguration(variant)</w:t>
        <w:br/>
        <w:t xml:space="preserve">        │</w:t>
        <w:br/>
        <w:t xml:space="preserve">        ▼</w:t>
        <w:br/>
        <w:t>BrandingAssetResolver</w:t>
        <w:br/>
        <w:t xml:space="preserve">        │</w:t>
        <w:br/>
        <w:t xml:space="preserve">        ├── primary_logo</w:t>
        <w:br/>
        <w:t xml:space="preserve">        ├── secondary_logo</w:t>
        <w:br/>
        <w:t xml:space="preserve">        ├── partner_logo</w:t>
        <w:br/>
        <w:t xml:space="preserve">        └── presentation metadata</w:t>
      </w:r>
    </w:p>
    <w:p>
      <w:r>
        <w:t>Tool/KPI configuration stores the semantic variant only. Physical asset paths remain owned by Branding, so logo files can be replaced without rewriting configuration documents.</w:t>
      </w:r>
    </w:p>
    <w:p>
      <w:pPr>
        <w:pStyle w:val="Heading2"/>
      </w:pPr>
      <w:r>
        <w:t>8.3 Branding acceptance tests</w:t>
      </w:r>
    </w:p>
    <w:p>
      <w:pPr>
        <w:pStyle w:val="ListBullet"/>
        <w:spacing w:after="40"/>
      </w:pPr>
      <w:r>
        <w:t>Existing `original` documents load without migration.</w:t>
      </w:r>
    </w:p>
    <w:p>
      <w:pPr>
        <w:pStyle w:val="ListBullet"/>
        <w:spacing w:after="40"/>
      </w:pPr>
      <w:r>
        <w:t>Every declared variant resolves to a complete and valid asset set.</w:t>
      </w:r>
    </w:p>
    <w:p>
      <w:pPr>
        <w:pStyle w:val="ListBullet"/>
        <w:spacing w:after="40"/>
      </w:pPr>
      <w:r>
        <w:t>Unknown/invalid variants fail through the existing validation contract.</w:t>
      </w:r>
    </w:p>
    <w:p>
      <w:pPr>
        <w:pStyle w:val="ListBullet"/>
        <w:spacing w:after="40"/>
      </w:pPr>
      <w:r>
        <w:t>Normal/Fiestas Patrias/etc. can be selected without changing Tool identity.</w:t>
      </w:r>
    </w:p>
    <w:p>
      <w:pPr>
        <w:pStyle w:val="ListBullet"/>
        <w:spacing w:after="40"/>
      </w:pPr>
      <w:r>
        <w:t>Brand rendering falls back safely to Normal only where the contract explicitly permits it; invalid persisted configuration must not be silently accepted.</w:t>
      </w:r>
    </w:p>
    <w:p>
      <w:pPr>
        <w:pStyle w:val="ListBullet"/>
        <w:spacing w:after="40"/>
      </w:pPr>
      <w:r>
        <w:t>Manager and operational surfaces resolve the selected variant consistently.</w:t>
      </w:r>
    </w:p>
    <w:p>
      <w:pPr>
        <w:pStyle w:val="Heading1"/>
      </w:pPr>
      <w:r>
        <w:t>9. Risk register and controls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12"/>
            <w:shd w:fill="173A5E"/>
            <w:vAlign w:val="center"/>
            <w:tcMar>
              <w:top w:w="80" w:type="dxa"/>
              <w:start w:w="90" w:type="dxa"/>
              <w:bottom w:w="80" w:type="dxa"/>
              <w:end w:w="90" w:type="dxa"/>
            </w:tcMar>
          </w:tcPr>
          <w:p>
            <w:r>
              <w:rPr>
                <w:b/>
                <w:color w:val="FFFFFF"/>
                <w:sz w:val="17"/>
              </w:rPr>
              <w:t>Risk</w:t>
            </w:r>
          </w:p>
        </w:tc>
        <w:tc>
          <w:tcPr>
            <w:tcW w:type="dxa" w:w="1440"/>
            <w:shd w:fill="173A5E"/>
            <w:vAlign w:val="center"/>
            <w:tcMar>
              <w:top w:w="80" w:type="dxa"/>
              <w:start w:w="90" w:type="dxa"/>
              <w:bottom w:w="80" w:type="dxa"/>
              <w:end w:w="90" w:type="dxa"/>
            </w:tcMar>
          </w:tcPr>
          <w:p>
            <w:r>
              <w:rPr>
                <w:b/>
                <w:color w:val="FFFFFF"/>
                <w:sz w:val="17"/>
              </w:rPr>
              <w:t>Impact</w:t>
            </w:r>
          </w:p>
        </w:tc>
        <w:tc>
          <w:tcPr>
            <w:tcW w:type="dxa" w:w="5904"/>
            <w:shd w:fill="173A5E"/>
            <w:vAlign w:val="center"/>
            <w:tcMar>
              <w:top w:w="80" w:type="dxa"/>
              <w:start w:w="90" w:type="dxa"/>
              <w:bottom w:w="80" w:type="dxa"/>
              <w:end w:w="90" w:type="dxa"/>
            </w:tcMar>
          </w:tcPr>
          <w:p>
            <w:r>
              <w:rPr>
                <w:b/>
                <w:color w:val="FFFFFF"/>
                <w:sz w:val="17"/>
              </w:rPr>
              <w:t>Control</w:t>
            </w:r>
          </w:p>
        </w:tc>
      </w:tr>
      <w:tr>
        <w:trPr>
          <w:cantSplit/>
        </w:trPr>
        <w:tc>
          <w:tcPr>
            <w:tcW w:type="dxa" w:w="3312"/>
            <w:vAlign w:val="top"/>
            <w:tcMar>
              <w:top w:w="70" w:type="dxa"/>
              <w:start w:w="90" w:type="dxa"/>
              <w:bottom w:w="70" w:type="dxa"/>
              <w:end w:w="90" w:type="dxa"/>
            </w:tcMar>
          </w:tcPr>
          <w:p>
            <w:pPr>
              <w:spacing w:after="0"/>
            </w:pPr>
            <w:r>
              <w:rPr>
                <w:sz w:val="16"/>
              </w:rPr>
              <w:t>Import graph breaks during moves</w:t>
            </w:r>
          </w:p>
        </w:tc>
        <w:tc>
          <w:tcPr>
            <w:tcW w:type="dxa" w:w="1440"/>
            <w:vAlign w:val="top"/>
            <w:tcMar>
              <w:top w:w="70" w:type="dxa"/>
              <w:start w:w="90" w:type="dxa"/>
              <w:bottom w:w="70" w:type="dxa"/>
              <w:end w:w="90" w:type="dxa"/>
            </w:tcMar>
          </w:tcPr>
          <w:p>
            <w:pPr>
              <w:spacing w:after="0"/>
            </w:pPr>
            <w:r>
              <w:rPr>
                <w:sz w:val="16"/>
              </w:rPr>
              <w:t>High</w:t>
            </w:r>
          </w:p>
        </w:tc>
        <w:tc>
          <w:tcPr>
            <w:tcW w:type="dxa" w:w="5904"/>
            <w:vAlign w:val="top"/>
            <w:tcMar>
              <w:top w:w="70" w:type="dxa"/>
              <w:start w:w="90" w:type="dxa"/>
              <w:bottom w:w="70" w:type="dxa"/>
              <w:end w:w="90" w:type="dxa"/>
            </w:tcMar>
          </w:tcPr>
          <w:p>
            <w:pPr>
              <w:spacing w:after="0"/>
            </w:pPr>
            <w:r>
              <w:rPr>
                <w:sz w:val="16"/>
              </w:rPr>
              <w:t>Atomic consumer updates + package import smoke + stale namespace search</w:t>
            </w:r>
          </w:p>
        </w:tc>
      </w:tr>
      <w:tr>
        <w:trPr>
          <w:cantSplit/>
        </w:trPr>
        <w:tc>
          <w:tcPr>
            <w:tcW w:type="dxa" w:w="3312"/>
            <w:shd w:fill="F5F7F9"/>
            <w:vAlign w:val="top"/>
            <w:tcMar>
              <w:top w:w="70" w:type="dxa"/>
              <w:start w:w="90" w:type="dxa"/>
              <w:bottom w:w="70" w:type="dxa"/>
              <w:end w:w="90" w:type="dxa"/>
            </w:tcMar>
          </w:tcPr>
          <w:p>
            <w:pPr>
              <w:spacing w:after="0"/>
            </w:pPr>
            <w:r>
              <w:rPr>
                <w:sz w:val="16"/>
              </w:rPr>
              <w:t>Version drift between former micro-wheels</w:t>
            </w:r>
          </w:p>
        </w:tc>
        <w:tc>
          <w:tcPr>
            <w:tcW w:type="dxa" w:w="1440"/>
            <w:shd w:fill="F5F7F9"/>
            <w:vAlign w:val="top"/>
            <w:tcMar>
              <w:top w:w="70" w:type="dxa"/>
              <w:start w:w="90" w:type="dxa"/>
              <w:bottom w:w="70" w:type="dxa"/>
              <w:end w:w="90" w:type="dxa"/>
            </w:tcMar>
          </w:tcPr>
          <w:p>
            <w:pPr>
              <w:spacing w:after="0"/>
            </w:pPr>
            <w:r>
              <w:rPr>
                <w:sz w:val="16"/>
              </w:rPr>
              <w:t>High</w:t>
            </w:r>
          </w:p>
        </w:tc>
        <w:tc>
          <w:tcPr>
            <w:tcW w:type="dxa" w:w="5904"/>
            <w:shd w:fill="F5F7F9"/>
            <w:vAlign w:val="top"/>
            <w:tcMar>
              <w:top w:w="70" w:type="dxa"/>
              <w:start w:w="90" w:type="dxa"/>
              <w:bottom w:w="70" w:type="dxa"/>
              <w:end w:w="90" w:type="dxa"/>
            </w:tcMar>
          </w:tcPr>
          <w:p>
            <w:pPr>
              <w:spacing w:after="0"/>
            </w:pPr>
            <w:r>
              <w:rPr>
                <w:sz w:val="16"/>
              </w:rPr>
              <w:t>Consolidate release unit and lock dependencies together</w:t>
            </w:r>
          </w:p>
        </w:tc>
      </w:tr>
      <w:tr>
        <w:trPr>
          <w:cantSplit/>
        </w:trPr>
        <w:tc>
          <w:tcPr>
            <w:tcW w:type="dxa" w:w="3312"/>
            <w:vAlign w:val="top"/>
            <w:tcMar>
              <w:top w:w="70" w:type="dxa"/>
              <w:start w:w="90" w:type="dxa"/>
              <w:bottom w:w="70" w:type="dxa"/>
              <w:end w:w="90" w:type="dxa"/>
            </w:tcMar>
          </w:tcPr>
          <w:p>
            <w:pPr>
              <w:spacing w:after="0"/>
            </w:pPr>
            <w:r>
              <w:rPr>
                <w:sz w:val="16"/>
              </w:rPr>
              <w:t>Behavior changes hidden in refactor</w:t>
            </w:r>
          </w:p>
        </w:tc>
        <w:tc>
          <w:tcPr>
            <w:tcW w:type="dxa" w:w="1440"/>
            <w:vAlign w:val="top"/>
            <w:tcMar>
              <w:top w:w="70" w:type="dxa"/>
              <w:start w:w="90" w:type="dxa"/>
              <w:bottom w:w="70" w:type="dxa"/>
              <w:end w:w="90" w:type="dxa"/>
            </w:tcMar>
          </w:tcPr>
          <w:p>
            <w:pPr>
              <w:spacing w:after="0"/>
            </w:pPr>
            <w:r>
              <w:rPr>
                <w:sz w:val="16"/>
              </w:rPr>
              <w:t>High</w:t>
            </w:r>
          </w:p>
        </w:tc>
        <w:tc>
          <w:tcPr>
            <w:tcW w:type="dxa" w:w="5904"/>
            <w:vAlign w:val="top"/>
            <w:tcMar>
              <w:top w:w="70" w:type="dxa"/>
              <w:start w:w="90" w:type="dxa"/>
              <w:bottom w:w="70" w:type="dxa"/>
              <w:end w:w="90" w:type="dxa"/>
            </w:tcMar>
          </w:tcPr>
          <w:p>
            <w:pPr>
              <w:spacing w:after="0"/>
            </w:pPr>
            <w:r>
              <w:rPr>
                <w:sz w:val="16"/>
              </w:rPr>
              <w:t>No semantic rewrites; contract regression tests before/after</w:t>
            </w:r>
          </w:p>
        </w:tc>
      </w:tr>
      <w:tr>
        <w:trPr>
          <w:cantSplit/>
        </w:trPr>
        <w:tc>
          <w:tcPr>
            <w:tcW w:type="dxa" w:w="3312"/>
            <w:shd w:fill="F5F7F9"/>
            <w:vAlign w:val="top"/>
            <w:tcMar>
              <w:top w:w="70" w:type="dxa"/>
              <w:start w:w="90" w:type="dxa"/>
              <w:bottom w:w="70" w:type="dxa"/>
              <w:end w:w="90" w:type="dxa"/>
            </w:tcMar>
          </w:tcPr>
          <w:p>
            <w:pPr>
              <w:spacing w:after="0"/>
            </w:pPr>
            <w:r>
              <w:rPr>
                <w:sz w:val="16"/>
              </w:rPr>
              <w:t>UI regressions from asset/path moves</w:t>
            </w:r>
          </w:p>
        </w:tc>
        <w:tc>
          <w:tcPr>
            <w:tcW w:type="dxa" w:w="1440"/>
            <w:shd w:fill="F5F7F9"/>
            <w:vAlign w:val="top"/>
            <w:tcMar>
              <w:top w:w="70" w:type="dxa"/>
              <w:start w:w="90" w:type="dxa"/>
              <w:bottom w:w="70" w:type="dxa"/>
              <w:end w:w="90" w:type="dxa"/>
            </w:tcMar>
          </w:tcPr>
          <w:p>
            <w:pPr>
              <w:spacing w:after="0"/>
            </w:pPr>
            <w:r>
              <w:rPr>
                <w:sz w:val="16"/>
              </w:rPr>
              <w:t>Medium</w:t>
            </w:r>
          </w:p>
        </w:tc>
        <w:tc>
          <w:tcPr>
            <w:tcW w:type="dxa" w:w="5904"/>
            <w:shd w:fill="F5F7F9"/>
            <w:vAlign w:val="top"/>
            <w:tcMar>
              <w:top w:w="70" w:type="dxa"/>
              <w:start w:w="90" w:type="dxa"/>
              <w:bottom w:w="70" w:type="dxa"/>
              <w:end w:w="90" w:type="dxa"/>
            </w:tcMar>
          </w:tcPr>
          <w:p>
            <w:pPr>
              <w:spacing w:after="0"/>
            </w:pPr>
            <w:r>
              <w:rPr>
                <w:sz w:val="16"/>
              </w:rPr>
              <w:t>CSS token gate + targeted visual smoke</w:t>
            </w:r>
          </w:p>
        </w:tc>
      </w:tr>
      <w:tr>
        <w:trPr>
          <w:cantSplit/>
        </w:trPr>
        <w:tc>
          <w:tcPr>
            <w:tcW w:type="dxa" w:w="3312"/>
            <w:vAlign w:val="top"/>
            <w:tcMar>
              <w:top w:w="70" w:type="dxa"/>
              <w:start w:w="90" w:type="dxa"/>
              <w:bottom w:w="70" w:type="dxa"/>
              <w:end w:w="90" w:type="dxa"/>
            </w:tcMar>
          </w:tcPr>
          <w:p>
            <w:pPr>
              <w:spacing w:after="0"/>
            </w:pPr>
            <w:r>
              <w:rPr>
                <w:sz w:val="16"/>
              </w:rPr>
              <w:t>Mirror divergence</w:t>
            </w:r>
          </w:p>
        </w:tc>
        <w:tc>
          <w:tcPr>
            <w:tcW w:type="dxa" w:w="1440"/>
            <w:vAlign w:val="top"/>
            <w:tcMar>
              <w:top w:w="70" w:type="dxa"/>
              <w:start w:w="90" w:type="dxa"/>
              <w:bottom w:w="70" w:type="dxa"/>
              <w:end w:w="90" w:type="dxa"/>
            </w:tcMar>
          </w:tcPr>
          <w:p>
            <w:pPr>
              <w:spacing w:after="0"/>
            </w:pPr>
            <w:r>
              <w:rPr>
                <w:sz w:val="16"/>
              </w:rPr>
              <w:t>Medium</w:t>
            </w:r>
          </w:p>
        </w:tc>
        <w:tc>
          <w:tcPr>
            <w:tcW w:type="dxa" w:w="5904"/>
            <w:vAlign w:val="top"/>
            <w:tcMar>
              <w:top w:w="70" w:type="dxa"/>
              <w:start w:w="90" w:type="dxa"/>
              <w:bottom w:w="70" w:type="dxa"/>
              <w:end w:w="90" w:type="dxa"/>
            </w:tcMar>
          </w:tcPr>
          <w:p>
            <w:pPr>
              <w:spacing w:after="0"/>
            </w:pPr>
            <w:r>
              <w:rPr>
                <w:sz w:val="16"/>
              </w:rPr>
              <w:t>Mirror migration in same change + validate_mirrors</w:t>
            </w:r>
          </w:p>
        </w:tc>
      </w:tr>
      <w:tr>
        <w:trPr>
          <w:cantSplit/>
        </w:trPr>
        <w:tc>
          <w:tcPr>
            <w:tcW w:type="dxa" w:w="3312"/>
            <w:shd w:fill="F5F7F9"/>
            <w:vAlign w:val="top"/>
            <w:tcMar>
              <w:top w:w="70" w:type="dxa"/>
              <w:start w:w="90" w:type="dxa"/>
              <w:bottom w:w="70" w:type="dxa"/>
              <w:end w:w="90" w:type="dxa"/>
            </w:tcMar>
          </w:tcPr>
          <w:p>
            <w:pPr>
              <w:spacing w:after="0"/>
            </w:pPr>
            <w:r>
              <w:rPr>
                <w:sz w:val="16"/>
              </w:rPr>
              <w:t>Orphaned pyproject/uv.lock files</w:t>
            </w:r>
          </w:p>
        </w:tc>
        <w:tc>
          <w:tcPr>
            <w:tcW w:type="dxa" w:w="1440"/>
            <w:shd w:fill="F5F7F9"/>
            <w:vAlign w:val="top"/>
            <w:tcMar>
              <w:top w:w="70" w:type="dxa"/>
              <w:start w:w="90" w:type="dxa"/>
              <w:bottom w:w="70" w:type="dxa"/>
              <w:end w:w="90" w:type="dxa"/>
            </w:tcMar>
          </w:tcPr>
          <w:p>
            <w:pPr>
              <w:spacing w:after="0"/>
            </w:pPr>
            <w:r>
              <w:rPr>
                <w:sz w:val="16"/>
              </w:rPr>
              <w:t>Medium</w:t>
            </w:r>
          </w:p>
        </w:tc>
        <w:tc>
          <w:tcPr>
            <w:tcW w:type="dxa" w:w="5904"/>
            <w:shd w:fill="F5F7F9"/>
            <w:vAlign w:val="top"/>
            <w:tcMar>
              <w:top w:w="70" w:type="dxa"/>
              <w:start w:w="90" w:type="dxa"/>
              <w:bottom w:w="70" w:type="dxa"/>
              <w:end w:w="90" w:type="dxa"/>
            </w:tcMar>
          </w:tcPr>
          <w:p>
            <w:pPr>
              <w:spacing w:after="0"/>
            </w:pPr>
            <w:r>
              <w:rPr>
                <w:sz w:val="16"/>
              </w:rPr>
              <w:t>Repository tree audit after each consolidation</w:t>
            </w:r>
          </w:p>
        </w:tc>
      </w:tr>
      <w:tr>
        <w:trPr>
          <w:cantSplit/>
        </w:trPr>
        <w:tc>
          <w:tcPr>
            <w:tcW w:type="dxa" w:w="3312"/>
            <w:vAlign w:val="top"/>
            <w:tcMar>
              <w:top w:w="70" w:type="dxa"/>
              <w:start w:w="90" w:type="dxa"/>
              <w:bottom w:w="70" w:type="dxa"/>
              <w:end w:w="90" w:type="dxa"/>
            </w:tcMar>
          </w:tcPr>
          <w:p>
            <w:pPr>
              <w:spacing w:after="0"/>
            </w:pPr>
            <w:r>
              <w:rPr>
                <w:sz w:val="16"/>
              </w:rPr>
              <w:t>Over-consolidation removes real boundary</w:t>
            </w:r>
          </w:p>
        </w:tc>
        <w:tc>
          <w:tcPr>
            <w:tcW w:type="dxa" w:w="1440"/>
            <w:vAlign w:val="top"/>
            <w:tcMar>
              <w:top w:w="70" w:type="dxa"/>
              <w:start w:w="90" w:type="dxa"/>
              <w:bottom w:w="70" w:type="dxa"/>
              <w:end w:w="90" w:type="dxa"/>
            </w:tcMar>
          </w:tcPr>
          <w:p>
            <w:pPr>
              <w:spacing w:after="0"/>
            </w:pPr>
            <w:r>
              <w:rPr>
                <w:sz w:val="16"/>
              </w:rPr>
              <w:t>Medium</w:t>
            </w:r>
          </w:p>
        </w:tc>
        <w:tc>
          <w:tcPr>
            <w:tcW w:type="dxa" w:w="5904"/>
            <w:vAlign w:val="top"/>
            <w:tcMar>
              <w:top w:w="70" w:type="dxa"/>
              <w:start w:w="90" w:type="dxa"/>
              <w:bottom w:w="70" w:type="dxa"/>
              <w:end w:w="90" w:type="dxa"/>
            </w:tcMar>
          </w:tcPr>
          <w:p>
            <w:pPr>
              <w:spacing w:after="0"/>
            </w:pPr>
            <w:r>
              <w:rPr>
                <w:sz w:val="16"/>
              </w:rPr>
              <w:t>Pre-move dependency/consumer audit; keep wheel when justified</w:t>
            </w:r>
          </w:p>
        </w:tc>
      </w:tr>
      <w:tr>
        <w:trPr>
          <w:cantSplit/>
        </w:trPr>
        <w:tc>
          <w:tcPr>
            <w:tcW w:type="dxa" w:w="3312"/>
            <w:shd w:fill="F5F7F9"/>
            <w:vAlign w:val="top"/>
            <w:tcMar>
              <w:top w:w="70" w:type="dxa"/>
              <w:start w:w="90" w:type="dxa"/>
              <w:bottom w:w="70" w:type="dxa"/>
              <w:end w:w="90" w:type="dxa"/>
            </w:tcMar>
          </w:tcPr>
          <w:p>
            <w:pPr>
              <w:spacing w:after="0"/>
            </w:pPr>
            <w:r>
              <w:rPr>
                <w:sz w:val="16"/>
              </w:rPr>
              <w:t>Long-lived compatibility layer becomes permanent</w:t>
            </w:r>
          </w:p>
        </w:tc>
        <w:tc>
          <w:tcPr>
            <w:tcW w:type="dxa" w:w="1440"/>
            <w:shd w:fill="F5F7F9"/>
            <w:vAlign w:val="top"/>
            <w:tcMar>
              <w:top w:w="70" w:type="dxa"/>
              <w:start w:w="90" w:type="dxa"/>
              <w:bottom w:w="70" w:type="dxa"/>
              <w:end w:w="90" w:type="dxa"/>
            </w:tcMar>
          </w:tcPr>
          <w:p>
            <w:pPr>
              <w:spacing w:after="0"/>
            </w:pPr>
            <w:r>
              <w:rPr>
                <w:sz w:val="16"/>
              </w:rPr>
              <w:t>Medium</w:t>
            </w:r>
          </w:p>
        </w:tc>
        <w:tc>
          <w:tcPr>
            <w:tcW w:type="dxa" w:w="5904"/>
            <w:shd w:fill="F5F7F9"/>
            <w:vAlign w:val="top"/>
            <w:tcMar>
              <w:top w:w="70" w:type="dxa"/>
              <w:start w:w="90" w:type="dxa"/>
              <w:bottom w:w="70" w:type="dxa"/>
              <w:end w:w="90" w:type="dxa"/>
            </w:tcMar>
          </w:tcPr>
          <w:p>
            <w:pPr>
              <w:spacing w:after="0"/>
            </w:pPr>
            <w:r>
              <w:rPr>
                <w:sz w:val="16"/>
              </w:rPr>
              <w:t>Prefer atomic migration; any temporary alias gets explicit removal gate</w:t>
            </w:r>
          </w:p>
        </w:tc>
      </w:tr>
      <w:tr>
        <w:trPr>
          <w:cantSplit/>
        </w:trPr>
        <w:tc>
          <w:tcPr>
            <w:tcW w:type="dxa" w:w="3312"/>
            <w:vAlign w:val="top"/>
            <w:tcMar>
              <w:top w:w="70" w:type="dxa"/>
              <w:start w:w="90" w:type="dxa"/>
              <w:bottom w:w="70" w:type="dxa"/>
              <w:end w:w="90" w:type="dxa"/>
            </w:tcMar>
          </w:tcPr>
          <w:p>
            <w:pPr>
              <w:spacing w:after="0"/>
            </w:pPr>
            <w:r>
              <w:rPr>
                <w:sz w:val="16"/>
              </w:rPr>
              <w:t>KPI work starts before structural baseline stabilizes</w:t>
            </w:r>
          </w:p>
        </w:tc>
        <w:tc>
          <w:tcPr>
            <w:tcW w:type="dxa" w:w="1440"/>
            <w:vAlign w:val="top"/>
            <w:tcMar>
              <w:top w:w="70" w:type="dxa"/>
              <w:start w:w="90" w:type="dxa"/>
              <w:bottom w:w="70" w:type="dxa"/>
              <w:end w:w="90" w:type="dxa"/>
            </w:tcMar>
          </w:tcPr>
          <w:p>
            <w:pPr>
              <w:spacing w:after="0"/>
            </w:pPr>
            <w:r>
              <w:rPr>
                <w:sz w:val="16"/>
              </w:rPr>
              <w:t>High</w:t>
            </w:r>
          </w:p>
        </w:tc>
        <w:tc>
          <w:tcPr>
            <w:tcW w:type="dxa" w:w="5904"/>
            <w:vAlign w:val="top"/>
            <w:tcMar>
              <w:top w:w="70" w:type="dxa"/>
              <w:start w:w="90" w:type="dxa"/>
              <w:bottom w:w="70" w:type="dxa"/>
              <w:end w:w="90" w:type="dxa"/>
            </w:tcMar>
          </w:tcPr>
          <w:p>
            <w:pPr>
              <w:spacing w:after="0"/>
            </w:pPr>
            <w:r>
              <w:rPr>
                <w:sz w:val="16"/>
              </w:rPr>
              <w:t>KPI Manager remains blocked until W-ARCH-011 GREEN</w:t>
            </w:r>
          </w:p>
        </w:tc>
      </w:tr>
    </w:tbl>
    <w:p/>
    <w:p>
      <w:pPr>
        <w:pStyle w:val="Heading1"/>
      </w:pPr>
      <w:r>
        <w:t>10. Change-control rules during migration</w:t>
      </w:r>
    </w:p>
    <w:p>
      <w:pPr>
        <w:pStyle w:val="ListBullet"/>
        <w:spacing w:after="40"/>
      </w:pPr>
      <w:r>
        <w:t>Do not redesign closed Tools behavior during physical migration.</w:t>
      </w:r>
    </w:p>
    <w:p>
      <w:pPr>
        <w:pStyle w:val="ListBullet"/>
        <w:spacing w:after="40"/>
      </w:pPr>
      <w:r>
        <w:t>Do not introduce new IDs or translation layers for existing semantic identities.</w:t>
      </w:r>
    </w:p>
    <w:p>
      <w:pPr>
        <w:pStyle w:val="ListBullet"/>
        <w:spacing w:after="40"/>
      </w:pPr>
      <w:r>
        <w:t>Do not move generic Atlanticus code into ADA merely for convenience.</w:t>
      </w:r>
    </w:p>
    <w:p>
      <w:pPr>
        <w:pStyle w:val="ListBullet"/>
        <w:spacing w:after="40"/>
      </w:pPr>
      <w:r>
        <w:t>Do not promote ADA-specific semantics into Atlanticus framework.</w:t>
      </w:r>
    </w:p>
    <w:p>
      <w:pPr>
        <w:pStyle w:val="ListBullet"/>
        <w:spacing w:after="40"/>
      </w:pPr>
      <w:r>
        <w:t>Do not create a new wheel simply to mirror a folder structure.</w:t>
      </w:r>
    </w:p>
    <w:p>
      <w:pPr>
        <w:pStyle w:val="ListBullet"/>
        <w:spacing w:after="40"/>
      </w:pPr>
      <w:r>
        <w:t>Do not combine independent domains solely to reduce wheel count.</w:t>
      </w:r>
    </w:p>
    <w:p>
      <w:pPr>
        <w:pStyle w:val="ListBullet"/>
        <w:spacing w:after="40"/>
      </w:pPr>
      <w:r>
        <w:t>Any functional change outside Branding variants requires explicit discussion and a separate acceptance criterion.</w:t>
      </w:r>
    </w:p>
    <w:p>
      <w:pPr>
        <w:pStyle w:val="ListBullet"/>
        <w:spacing w:after="40"/>
      </w:pPr>
      <w:r>
        <w:t>Every increment must include production code, tests, and commented mirror changes together.</w:t>
      </w:r>
    </w:p>
    <w:p>
      <w:pPr>
        <w:pStyle w:val="Heading1"/>
      </w:pPr>
      <w:r>
        <w:t>11. Final repository qualification (W-ARCH-011)</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168"/>
            <w:shd w:fill="173A5E"/>
            <w:vAlign w:val="center"/>
            <w:tcMar>
              <w:top w:w="80" w:type="dxa"/>
              <w:start w:w="90" w:type="dxa"/>
              <w:bottom w:w="80" w:type="dxa"/>
              <w:end w:w="90" w:type="dxa"/>
            </w:tcMar>
          </w:tcPr>
          <w:p>
            <w:r>
              <w:rPr>
                <w:b/>
                <w:color w:val="FFFFFF"/>
                <w:sz w:val="17"/>
              </w:rPr>
              <w:t>Gate</w:t>
            </w:r>
          </w:p>
        </w:tc>
        <w:tc>
          <w:tcPr>
            <w:tcW w:type="dxa" w:w="7488"/>
            <w:shd w:fill="173A5E"/>
            <w:vAlign w:val="center"/>
            <w:tcMar>
              <w:top w:w="80" w:type="dxa"/>
              <w:start w:w="90" w:type="dxa"/>
              <w:bottom w:w="80" w:type="dxa"/>
              <w:end w:w="90" w:type="dxa"/>
            </w:tcMar>
          </w:tcPr>
          <w:p>
            <w:r>
              <w:rPr>
                <w:b/>
                <w:color w:val="FFFFFF"/>
                <w:sz w:val="17"/>
              </w:rPr>
              <w:t>Expected final state</w:t>
            </w:r>
          </w:p>
        </w:tc>
      </w:tr>
      <w:tr>
        <w:trPr>
          <w:cantSplit/>
        </w:trPr>
        <w:tc>
          <w:tcPr>
            <w:tcW w:type="dxa" w:w="3168"/>
            <w:vAlign w:val="top"/>
            <w:tcMar>
              <w:top w:w="70" w:type="dxa"/>
              <w:start w:w="90" w:type="dxa"/>
              <w:bottom w:w="70" w:type="dxa"/>
              <w:end w:w="90" w:type="dxa"/>
            </w:tcMar>
          </w:tcPr>
          <w:p>
            <w:pPr>
              <w:spacing w:after="0"/>
            </w:pPr>
            <w:r>
              <w:rPr>
                <w:sz w:val="16"/>
              </w:rPr>
              <w:t>Repository tree</w:t>
            </w:r>
          </w:p>
        </w:tc>
        <w:tc>
          <w:tcPr>
            <w:tcW w:type="dxa" w:w="7488"/>
            <w:vAlign w:val="top"/>
            <w:tcMar>
              <w:top w:w="70" w:type="dxa"/>
              <w:start w:w="90" w:type="dxa"/>
              <w:bottom w:w="70" w:type="dxa"/>
              <w:end w:w="90" w:type="dxa"/>
            </w:tcMar>
          </w:tcPr>
          <w:p>
            <w:pPr>
              <w:spacing w:after="0"/>
            </w:pPr>
            <w:r>
              <w:rPr>
                <w:sz w:val="16"/>
              </w:rPr>
              <w:t>Domain-first ownership; generic configuration bucket removed or reduced to justified transversal capability only</w:t>
            </w:r>
          </w:p>
        </w:tc>
      </w:tr>
      <w:tr>
        <w:trPr>
          <w:cantSplit/>
        </w:trPr>
        <w:tc>
          <w:tcPr>
            <w:tcW w:type="dxa" w:w="3168"/>
            <w:shd w:fill="F5F7F9"/>
            <w:vAlign w:val="top"/>
            <w:tcMar>
              <w:top w:w="70" w:type="dxa"/>
              <w:start w:w="90" w:type="dxa"/>
              <w:bottom w:w="70" w:type="dxa"/>
              <w:end w:w="90" w:type="dxa"/>
            </w:tcMar>
          </w:tcPr>
          <w:p>
            <w:pPr>
              <w:spacing w:after="0"/>
            </w:pPr>
            <w:r>
              <w:rPr>
                <w:sz w:val="16"/>
              </w:rPr>
              <w:t>Wheels</w:t>
            </w:r>
          </w:p>
        </w:tc>
        <w:tc>
          <w:tcPr>
            <w:tcW w:type="dxa" w:w="7488"/>
            <w:shd w:fill="F5F7F9"/>
            <w:vAlign w:val="top"/>
            <w:tcMar>
              <w:top w:w="70" w:type="dxa"/>
              <w:start w:w="90" w:type="dxa"/>
              <w:bottom w:w="70" w:type="dxa"/>
              <w:end w:w="90" w:type="dxa"/>
            </w:tcMar>
          </w:tcPr>
          <w:p>
            <w:pPr>
              <w:spacing w:after="0"/>
            </w:pPr>
            <w:r>
              <w:rPr>
                <w:sz w:val="16"/>
              </w:rPr>
              <w:t>Only justified independent packages remain</w:t>
            </w:r>
          </w:p>
        </w:tc>
      </w:tr>
      <w:tr>
        <w:trPr>
          <w:cantSplit/>
        </w:trPr>
        <w:tc>
          <w:tcPr>
            <w:tcW w:type="dxa" w:w="3168"/>
            <w:vAlign w:val="top"/>
            <w:tcMar>
              <w:top w:w="70" w:type="dxa"/>
              <w:start w:w="90" w:type="dxa"/>
              <w:bottom w:w="70" w:type="dxa"/>
              <w:end w:w="90" w:type="dxa"/>
            </w:tcMar>
          </w:tcPr>
          <w:p>
            <w:pPr>
              <w:spacing w:after="0"/>
            </w:pPr>
            <w:r>
              <w:rPr>
                <w:sz w:val="16"/>
              </w:rPr>
              <w:t>Imports</w:t>
            </w:r>
          </w:p>
        </w:tc>
        <w:tc>
          <w:tcPr>
            <w:tcW w:type="dxa" w:w="7488"/>
            <w:vAlign w:val="top"/>
            <w:tcMar>
              <w:top w:w="70" w:type="dxa"/>
              <w:start w:w="90" w:type="dxa"/>
              <w:bottom w:w="70" w:type="dxa"/>
              <w:end w:w="90" w:type="dxa"/>
            </w:tcMar>
          </w:tcPr>
          <w:p>
            <w:pPr>
              <w:spacing w:after="0"/>
            </w:pPr>
            <w:r>
              <w:rPr>
                <w:sz w:val="16"/>
              </w:rPr>
              <w:t>No stale old namespaces or source paths</w:t>
            </w:r>
          </w:p>
        </w:tc>
      </w:tr>
      <w:tr>
        <w:trPr>
          <w:cantSplit/>
        </w:trPr>
        <w:tc>
          <w:tcPr>
            <w:tcW w:type="dxa" w:w="3168"/>
            <w:shd w:fill="F5F7F9"/>
            <w:vAlign w:val="top"/>
            <w:tcMar>
              <w:top w:w="70" w:type="dxa"/>
              <w:start w:w="90" w:type="dxa"/>
              <w:bottom w:w="70" w:type="dxa"/>
              <w:end w:w="90" w:type="dxa"/>
            </w:tcMar>
          </w:tcPr>
          <w:p>
            <w:pPr>
              <w:spacing w:after="0"/>
            </w:pPr>
            <w:r>
              <w:rPr>
                <w:sz w:val="16"/>
              </w:rPr>
              <w:t>Locks</w:t>
            </w:r>
          </w:p>
        </w:tc>
        <w:tc>
          <w:tcPr>
            <w:tcW w:type="dxa" w:w="7488"/>
            <w:shd w:fill="F5F7F9"/>
            <w:vAlign w:val="top"/>
            <w:tcMar>
              <w:top w:w="70" w:type="dxa"/>
              <w:start w:w="90" w:type="dxa"/>
              <w:bottom w:w="70" w:type="dxa"/>
              <w:end w:w="90" w:type="dxa"/>
            </w:tcMar>
          </w:tcPr>
          <w:p>
            <w:pPr>
              <w:spacing w:after="0"/>
            </w:pPr>
            <w:r>
              <w:rPr>
                <w:sz w:val="16"/>
              </w:rPr>
              <w:t>All active packages frozen and consistent</w:t>
            </w:r>
          </w:p>
        </w:tc>
      </w:tr>
      <w:tr>
        <w:trPr>
          <w:cantSplit/>
        </w:trPr>
        <w:tc>
          <w:tcPr>
            <w:tcW w:type="dxa" w:w="3168"/>
            <w:vAlign w:val="top"/>
            <w:tcMar>
              <w:top w:w="70" w:type="dxa"/>
              <w:start w:w="90" w:type="dxa"/>
              <w:bottom w:w="70" w:type="dxa"/>
              <w:end w:w="90" w:type="dxa"/>
            </w:tcMar>
          </w:tcPr>
          <w:p>
            <w:pPr>
              <w:spacing w:after="0"/>
            </w:pPr>
            <w:r>
              <w:rPr>
                <w:sz w:val="16"/>
              </w:rPr>
              <w:t>Mirrors</w:t>
            </w:r>
          </w:p>
        </w:tc>
        <w:tc>
          <w:tcPr>
            <w:tcW w:type="dxa" w:w="7488"/>
            <w:vAlign w:val="top"/>
            <w:tcMar>
              <w:top w:w="70" w:type="dxa"/>
              <w:start w:w="90" w:type="dxa"/>
              <w:bottom w:w="70" w:type="dxa"/>
              <w:end w:w="90" w:type="dxa"/>
            </w:tcMar>
          </w:tcPr>
          <w:p>
            <w:pPr>
              <w:spacing w:after="0"/>
            </w:pPr>
            <w:r>
              <w:rPr>
                <w:sz w:val="16"/>
              </w:rPr>
              <w:t>Validated</w:t>
            </w:r>
          </w:p>
        </w:tc>
      </w:tr>
      <w:tr>
        <w:trPr>
          <w:cantSplit/>
        </w:trPr>
        <w:tc>
          <w:tcPr>
            <w:tcW w:type="dxa" w:w="3168"/>
            <w:shd w:fill="F5F7F9"/>
            <w:vAlign w:val="top"/>
            <w:tcMar>
              <w:top w:w="70" w:type="dxa"/>
              <w:start w:w="90" w:type="dxa"/>
              <w:bottom w:w="70" w:type="dxa"/>
              <w:end w:w="90" w:type="dxa"/>
            </w:tcMar>
          </w:tcPr>
          <w:p>
            <w:pPr>
              <w:spacing w:after="0"/>
            </w:pPr>
            <w:r>
              <w:rPr>
                <w:sz w:val="16"/>
              </w:rPr>
              <w:t>CSS tokens</w:t>
            </w:r>
          </w:p>
        </w:tc>
        <w:tc>
          <w:tcPr>
            <w:tcW w:type="dxa" w:w="7488"/>
            <w:shd w:fill="F5F7F9"/>
            <w:vAlign w:val="top"/>
            <w:tcMar>
              <w:top w:w="70" w:type="dxa"/>
              <w:start w:w="90" w:type="dxa"/>
              <w:bottom w:w="70" w:type="dxa"/>
              <w:end w:w="90" w:type="dxa"/>
            </w:tcMar>
          </w:tcPr>
          <w:p>
            <w:pPr>
              <w:spacing w:after="0"/>
            </w:pPr>
            <w:r>
              <w:rPr>
                <w:sz w:val="16"/>
              </w:rPr>
              <w:t>Validated</w:t>
            </w:r>
          </w:p>
        </w:tc>
      </w:tr>
      <w:tr>
        <w:trPr>
          <w:cantSplit/>
        </w:trPr>
        <w:tc>
          <w:tcPr>
            <w:tcW w:type="dxa" w:w="3168"/>
            <w:vAlign w:val="top"/>
            <w:tcMar>
              <w:top w:w="70" w:type="dxa"/>
              <w:start w:w="90" w:type="dxa"/>
              <w:bottom w:w="70" w:type="dxa"/>
              <w:end w:w="90" w:type="dxa"/>
            </w:tcMar>
          </w:tcPr>
          <w:p>
            <w:pPr>
              <w:spacing w:after="0"/>
            </w:pPr>
            <w:r>
              <w:rPr>
                <w:sz w:val="16"/>
              </w:rPr>
              <w:t>Unit/consumer tests</w:t>
            </w:r>
          </w:p>
        </w:tc>
        <w:tc>
          <w:tcPr>
            <w:tcW w:type="dxa" w:w="7488"/>
            <w:vAlign w:val="top"/>
            <w:tcMar>
              <w:top w:w="70" w:type="dxa"/>
              <w:start w:w="90" w:type="dxa"/>
              <w:bottom w:w="70" w:type="dxa"/>
              <w:end w:w="90" w:type="dxa"/>
            </w:tcMar>
          </w:tcPr>
          <w:p>
            <w:pPr>
              <w:spacing w:after="0"/>
            </w:pPr>
            <w:r>
              <w:rPr>
                <w:sz w:val="16"/>
              </w:rPr>
              <w:t>GREEN</w:t>
            </w:r>
          </w:p>
        </w:tc>
      </w:tr>
      <w:tr>
        <w:trPr>
          <w:cantSplit/>
        </w:trPr>
        <w:tc>
          <w:tcPr>
            <w:tcW w:type="dxa" w:w="3168"/>
            <w:shd w:fill="F5F7F9"/>
            <w:vAlign w:val="top"/>
            <w:tcMar>
              <w:top w:w="70" w:type="dxa"/>
              <w:start w:w="90" w:type="dxa"/>
              <w:bottom w:w="70" w:type="dxa"/>
              <w:end w:w="90" w:type="dxa"/>
            </w:tcMar>
          </w:tcPr>
          <w:p>
            <w:pPr>
              <w:spacing w:after="0"/>
            </w:pPr>
            <w:r>
              <w:rPr>
                <w:sz w:val="16"/>
              </w:rPr>
              <w:t>Application startup</w:t>
            </w:r>
          </w:p>
        </w:tc>
        <w:tc>
          <w:tcPr>
            <w:tcW w:type="dxa" w:w="7488"/>
            <w:shd w:fill="F5F7F9"/>
            <w:vAlign w:val="top"/>
            <w:tcMar>
              <w:top w:w="70" w:type="dxa"/>
              <w:start w:w="90" w:type="dxa"/>
              <w:bottom w:w="70" w:type="dxa"/>
              <w:end w:w="90" w:type="dxa"/>
            </w:tcMar>
          </w:tcPr>
          <w:p>
            <w:pPr>
              <w:spacing w:after="0"/>
            </w:pPr>
            <w:r>
              <w:rPr>
                <w:sz w:val="16"/>
              </w:rPr>
              <w:t>GREEN</w:t>
            </w:r>
          </w:p>
        </w:tc>
      </w:tr>
      <w:tr>
        <w:trPr>
          <w:cantSplit/>
        </w:trPr>
        <w:tc>
          <w:tcPr>
            <w:tcW w:type="dxa" w:w="3168"/>
            <w:vAlign w:val="top"/>
            <w:tcMar>
              <w:top w:w="70" w:type="dxa"/>
              <w:start w:w="90" w:type="dxa"/>
              <w:bottom w:w="70" w:type="dxa"/>
              <w:end w:w="90" w:type="dxa"/>
            </w:tcMar>
          </w:tcPr>
          <w:p>
            <w:pPr>
              <w:spacing w:after="0"/>
            </w:pPr>
            <w:r>
              <w:rPr>
                <w:sz w:val="16"/>
              </w:rPr>
              <w:t>Manager shell</w:t>
            </w:r>
          </w:p>
        </w:tc>
        <w:tc>
          <w:tcPr>
            <w:tcW w:type="dxa" w:w="7488"/>
            <w:vAlign w:val="top"/>
            <w:tcMar>
              <w:top w:w="70" w:type="dxa"/>
              <w:start w:w="90" w:type="dxa"/>
              <w:bottom w:w="70" w:type="dxa"/>
              <w:end w:w="90" w:type="dxa"/>
            </w:tcMar>
          </w:tcPr>
          <w:p>
            <w:pPr>
              <w:spacing w:after="0"/>
            </w:pPr>
            <w:r>
              <w:rPr>
                <w:sz w:val="16"/>
              </w:rPr>
              <w:t>GREEN</w:t>
            </w:r>
          </w:p>
        </w:tc>
      </w:tr>
      <w:tr>
        <w:trPr>
          <w:cantSplit/>
        </w:trPr>
        <w:tc>
          <w:tcPr>
            <w:tcW w:type="dxa" w:w="3168"/>
            <w:shd w:fill="F5F7F9"/>
            <w:vAlign w:val="top"/>
            <w:tcMar>
              <w:top w:w="70" w:type="dxa"/>
              <w:start w:w="90" w:type="dxa"/>
              <w:bottom w:w="70" w:type="dxa"/>
              <w:end w:w="90" w:type="dxa"/>
            </w:tcMar>
          </w:tcPr>
          <w:p>
            <w:pPr>
              <w:spacing w:after="0"/>
            </w:pPr>
            <w:r>
              <w:rPr>
                <w:sz w:val="16"/>
              </w:rPr>
              <w:t>Tools configuration</w:t>
            </w:r>
          </w:p>
        </w:tc>
        <w:tc>
          <w:tcPr>
            <w:tcW w:type="dxa" w:w="7488"/>
            <w:shd w:fill="F5F7F9"/>
            <w:vAlign w:val="top"/>
            <w:tcMar>
              <w:top w:w="70" w:type="dxa"/>
              <w:start w:w="90" w:type="dxa"/>
              <w:bottom w:w="70" w:type="dxa"/>
              <w:end w:w="90" w:type="dxa"/>
            </w:tcMar>
          </w:tcPr>
          <w:p>
            <w:pPr>
              <w:spacing w:after="0"/>
            </w:pPr>
            <w:r>
              <w:rPr>
                <w:sz w:val="16"/>
              </w:rPr>
              <w:t>Behavior-equivalent to R8.4.5-r2</w:t>
            </w:r>
          </w:p>
        </w:tc>
      </w:tr>
      <w:tr>
        <w:trPr>
          <w:cantSplit/>
        </w:trPr>
        <w:tc>
          <w:tcPr>
            <w:tcW w:type="dxa" w:w="3168"/>
            <w:vAlign w:val="top"/>
            <w:tcMar>
              <w:top w:w="70" w:type="dxa"/>
              <w:start w:w="90" w:type="dxa"/>
              <w:bottom w:w="70" w:type="dxa"/>
              <w:end w:w="90" w:type="dxa"/>
            </w:tcMar>
          </w:tcPr>
          <w:p>
            <w:pPr>
              <w:spacing w:after="0"/>
            </w:pPr>
            <w:r>
              <w:rPr>
                <w:sz w:val="16"/>
              </w:rPr>
              <w:t>Operational surfaces</w:t>
            </w:r>
          </w:p>
        </w:tc>
        <w:tc>
          <w:tcPr>
            <w:tcW w:type="dxa" w:w="7488"/>
            <w:vAlign w:val="top"/>
            <w:tcMar>
              <w:top w:w="70" w:type="dxa"/>
              <w:start w:w="90" w:type="dxa"/>
              <w:bottom w:w="70" w:type="dxa"/>
              <w:end w:w="90" w:type="dxa"/>
            </w:tcMar>
          </w:tcPr>
          <w:p>
            <w:pPr>
              <w:spacing w:after="0"/>
            </w:pPr>
            <w:r>
              <w:rPr>
                <w:sz w:val="16"/>
              </w:rPr>
              <w:t>GREEN</w:t>
            </w:r>
          </w:p>
        </w:tc>
      </w:tr>
      <w:tr>
        <w:trPr>
          <w:cantSplit/>
        </w:trPr>
        <w:tc>
          <w:tcPr>
            <w:tcW w:type="dxa" w:w="3168"/>
            <w:shd w:fill="F5F7F9"/>
            <w:vAlign w:val="top"/>
            <w:tcMar>
              <w:top w:w="70" w:type="dxa"/>
              <w:start w:w="90" w:type="dxa"/>
              <w:bottom w:w="70" w:type="dxa"/>
              <w:end w:w="90" w:type="dxa"/>
            </w:tcMar>
          </w:tcPr>
          <w:p>
            <w:pPr>
              <w:spacing w:after="0"/>
            </w:pPr>
            <w:r>
              <w:rPr>
                <w:sz w:val="16"/>
              </w:rPr>
              <w:t>Branding variants</w:t>
            </w:r>
          </w:p>
        </w:tc>
        <w:tc>
          <w:tcPr>
            <w:tcW w:type="dxa" w:w="7488"/>
            <w:shd w:fill="F5F7F9"/>
            <w:vAlign w:val="top"/>
            <w:tcMar>
              <w:top w:w="70" w:type="dxa"/>
              <w:start w:w="90" w:type="dxa"/>
              <w:bottom w:w="70" w:type="dxa"/>
              <w:end w:w="90" w:type="dxa"/>
            </w:tcMar>
          </w:tcPr>
          <w:p>
            <w:pPr>
              <w:spacing w:after="0"/>
            </w:pPr>
            <w:r>
              <w:rPr>
                <w:sz w:val="16"/>
              </w:rPr>
              <w:t>GREEN</w:t>
            </w:r>
          </w:p>
        </w:tc>
      </w:tr>
      <w:tr>
        <w:trPr>
          <w:cantSplit/>
        </w:trPr>
        <w:tc>
          <w:tcPr>
            <w:tcW w:type="dxa" w:w="3168"/>
            <w:vAlign w:val="top"/>
            <w:tcMar>
              <w:top w:w="70" w:type="dxa"/>
              <w:start w:w="90" w:type="dxa"/>
              <w:bottom w:w="70" w:type="dxa"/>
              <w:end w:w="90" w:type="dxa"/>
            </w:tcMar>
          </w:tcPr>
          <w:p>
            <w:pPr>
              <w:spacing w:after="0"/>
            </w:pPr>
            <w:r>
              <w:rPr>
                <w:sz w:val="16"/>
              </w:rPr>
              <w:t>KPI prerequisites</w:t>
            </w:r>
          </w:p>
        </w:tc>
        <w:tc>
          <w:tcPr>
            <w:tcW w:type="dxa" w:w="7488"/>
            <w:vAlign w:val="top"/>
            <w:tcMar>
              <w:top w:w="70" w:type="dxa"/>
              <w:start w:w="90" w:type="dxa"/>
              <w:bottom w:w="70" w:type="dxa"/>
              <w:end w:w="90" w:type="dxa"/>
            </w:tcMar>
          </w:tcPr>
          <w:p>
            <w:pPr>
              <w:spacing w:after="0"/>
            </w:pPr>
            <w:r>
              <w:rPr>
                <w:sz w:val="16"/>
              </w:rPr>
              <w:t>Tool projection/component destination flow ready</w:t>
            </w:r>
          </w:p>
        </w:tc>
      </w:tr>
    </w:tbl>
    <w:p/>
    <w:tbl>
      <w:tblPr>
        <w:tblW w:type="auto" w:w="0"/>
        <w:jc w:val="center"/>
        <w:tblLook w:firstColumn="1" w:firstRow="1" w:lastColumn="0" w:lastRow="0" w:noHBand="0" w:noVBand="1" w:val="04A0"/>
      </w:tblPr>
      <w:tblGrid>
        <w:gridCol w:w="10166"/>
      </w:tblGrid>
      <w:tr>
        <w:trPr>
          <w:tblHeader w:val="true"/>
          <w:cantSplit/>
        </w:trPr>
        <w:tc>
          <w:tcPr>
            <w:tcW w:type="dxa" w:w="10166"/>
            <w:shd w:fill="EEF8F0"/>
            <w:tcMar>
              <w:top w:w="120" w:type="dxa"/>
              <w:start w:w="150" w:type="dxa"/>
              <w:bottom w:w="120" w:type="dxa"/>
              <w:end w:w="150" w:type="dxa"/>
            </w:tcMar>
          </w:tcPr>
          <w:p>
            <w:r>
              <w:rPr>
                <w:b/>
                <w:color w:val="2E7D32"/>
                <w:sz w:val="20"/>
              </w:rPr>
              <w:t>Migration closure condition</w:t>
            </w:r>
          </w:p>
          <w:p>
            <w:pPr>
              <w:spacing w:after="0"/>
            </w:pPr>
            <w:r>
              <w:rPr>
                <w:sz w:val="18"/>
              </w:rPr>
              <w:t>Only after W-ARCH-011 is GREEN may KPI Configuration implementation resume. At that point the remaining Managers must follow the new capability-first package rule.</w:t>
            </w:r>
          </w:p>
        </w:tc>
      </w:tr>
    </w:tbl>
    <w:p/>
    <w:p>
      <w:pPr>
        <w:pStyle w:val="Heading1"/>
      </w:pPr>
      <w:r>
        <w:t>12. Handoff after structural migration</w:t>
      </w:r>
    </w:p>
    <w:p>
      <w:r>
        <w:t>Once the migration is closed, KPI Configuration becomes the first configuration capability implemented entirely on the cleaned structure.</w:t>
      </w:r>
    </w:p>
    <w:p>
      <w:pPr>
        <w:pStyle w:val="CodeBlock"/>
        <w:keepLines/>
        <w:shd w:fill="F5F7F9"/>
      </w:pPr>
      <w:r>
        <w:rPr>
          <w:rFonts w:ascii="Cascadia Mono" w:hAnsi="Cascadia Mono"/>
          <w:sz w:val="17"/>
        </w:rPr>
        <w:t>kpis/</w:t>
        <w:br/>
        <w:t>├── definition/</w:t>
        <w:br/>
        <w:t>└── configuration/</w:t>
        <w:br/>
        <w:t xml:space="preserve">    ├── domain/lifecycle/services</w:t>
        <w:br/>
        <w:t xml:space="preserve">    ├── projection/source</w:t>
        <w:br/>
        <w:t xml:space="preserve">    ├── web/</w:t>
        <w:br/>
        <w:t xml:space="preserve">    └── resources/</w:t>
      </w:r>
    </w:p>
    <w:p>
      <w:r>
        <w:t>KPI Configuration will then implement the previously agreed behavior: readable KPI names with stable kpi_key identity, projected Tool components as selectable destinations, independent Latest/Time Series flags, conditional series hours, valid “neither” delivery state, modal Add/Edit, deletion with confirmation, filter/search, and pagination from the first release (10 rows default with adjustable page size).</w:t>
      </w:r>
    </w:p>
    <w:p>
      <w:r>
        <w:t>The ADA Configuration Manager will only compose the KPI configuration module, following the same independence rule used by Users, Navigation, Tools and all future administrative capabilities.</w:t>
      </w:r>
    </w:p>
    <w:p>
      <w:pPr>
        <w:pStyle w:val="Heading1"/>
      </w:pPr>
      <w:r>
        <w:t>13. Formal checkpoint</w:t>
      </w:r>
    </w:p>
    <w:p>
      <w:pPr>
        <w:pStyle w:val="CodeBlock"/>
        <w:keepLines/>
        <w:shd w:fill="F5F7F9"/>
      </w:pPr>
      <w:r>
        <w:rPr>
          <w:rFonts w:ascii="Cascadia Mono" w:hAnsi="Cascadia Mono"/>
          <w:sz w:val="17"/>
        </w:rPr>
        <w:t>STRUCTURAL MIGRATION DESIGN</w:t>
        <w:br/>
        <w:t>STATUS: FROZEN FOR IMPLEMENTATION</w:t>
        <w:br/>
        <w:br/>
        <w:t>Baseline:</w:t>
        <w:br/>
        <w:t>Tools Configuration R8.4.5-r2 — CLOSED / GREEN</w:t>
        <w:br/>
        <w:br/>
        <w:t>Migration objective:</w:t>
        <w:br/>
        <w:t>Capability-first ADA Web</w:t>
        <w:br/>
        <w:t>Reduced wheel count</w:t>
        <w:br/>
        <w:t>Preserved contracts</w:t>
        <w:br/>
        <w:t>No hidden semantic rewrites</w:t>
        <w:br/>
        <w:t>Repository fully requalified before KPI Manager</w:t>
        <w:br/>
        <w:br/>
        <w:t>Next executable increment:</w:t>
        <w:br/>
        <w:t>W-ARCH-001 — Branding Consolidation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0"/>
        <w:sz w:val="15"/>
      </w:rPr>
      <w:t>Structural Migration &amp; Qualification Plan · 2026-09-09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0"/>
        <w:sz w:val="16"/>
      </w:rPr>
      <w:t>ECOSYSTEM ATLANTICUS · ADA 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A5E"/>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F5D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6323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A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40"/>
    </w:pPr>
    <w:rPr>
      <w:rFonts w:ascii="Aptos" w:hAnsi="Aptos"/>
      <w:color w:val="5B6570"/>
      <w:sz w:val="18"/>
    </w:rPr>
  </w:style>
  <w:style w:type="paragraph" w:customStyle="1" w:styleId="CodeBlock">
    <w:name w:val="CodeBlock"/>
    <w:pPr>
      <w:spacing w:before="60" w:after="60"/>
      <w:ind w:left="259" w:right="259"/>
    </w:pPr>
    <w:rPr>
      <w:rFonts w:ascii="Cascadia Mono" w:hAnsi="Cascadia Mono"/>
      <w:color w:val="26323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