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Liberation Sans" w:hAnsi="Liberation Sans"/>
          <w:b/>
          <w:color w:val="5C5E65"/>
          <w:sz w:val="24"/>
        </w:rPr>
        <w:t>ATLANTICUS / ADA</w:t>
      </w:r>
    </w:p>
    <w:p>
      <w:pPr>
        <w:jc w:val="center"/>
      </w:pPr>
      <w:r>
        <w:rPr>
          <w:rFonts w:ascii="Liberation Sans" w:hAnsi="Liberation Sans"/>
          <w:b/>
          <w:color w:val="36383E"/>
          <w:sz w:val="50"/>
        </w:rPr>
        <w:t>Documento autoritativo de contratos</w:t>
      </w:r>
    </w:p>
    <w:p>
      <w:pPr>
        <w:jc w:val="center"/>
      </w:pPr>
      <w:r>
        <w:rPr>
          <w:rFonts w:ascii="Liberation Sans" w:hAnsi="Liberation Sans"/>
          <w:b/>
          <w:color w:val="495B71"/>
          <w:sz w:val="34"/>
        </w:rPr>
        <w:t>Tool → KPI → Render vacío → Alarmas</w:t>
      </w:r>
    </w:p>
    <w:p>
      <w:pPr>
        <w:spacing w:before="300"/>
        <w:jc w:val="center"/>
      </w:pPr>
      <w:r>
        <w:rPr>
          <w:color w:val="5C5E65"/>
          <w:sz w:val="21"/>
        </w:rPr>
        <w:t>Checkpoint de arquitectura y semántica funcional</w:t>
      </w:r>
    </w:p>
    <w:tbl>
      <w:tblPr>
        <w:tblStyle w:val="TableGrid"/>
        <w:tblW w:type="auto" w:w="0"/>
        <w:jc w:val="center"/>
        <w:tblLook w:firstColumn="1" w:firstRow="1" w:lastColumn="0" w:lastRow="0" w:noHBand="0" w:noVBand="1" w:val="04A0"/>
      </w:tblPr>
      <w:tblGrid>
        <w:gridCol w:w="4997"/>
        <w:gridCol w:w="4997"/>
      </w:tblGrid>
      <w:tr>
        <w:tc>
          <w:tcPr>
            <w:tcW w:type="dxa" w:w="4997"/>
            <w:tcMar>
              <w:top w:w="100" w:type="dxa"/>
              <w:start w:w="90" w:type="dxa"/>
              <w:bottom w:w="100" w:type="dxa"/>
              <w:end w:w="90" w:type="dxa"/>
            </w:tcMar>
            <w:shd w:fill="E6E7E9"/>
            <w:vAlign w:val="center"/>
          </w:tcPr>
          <w:p>
            <w:r>
              <w:rPr>
                <w:b/>
                <w:color w:val="36383E"/>
                <w:sz w:val="18"/>
              </w:rPr>
              <w:t>Fecha de autoridad</w:t>
            </w:r>
          </w:p>
        </w:tc>
        <w:tc>
          <w:tcPr>
            <w:tcW w:type="dxa" w:w="4997"/>
            <w:tcMar>
              <w:top w:w="100" w:type="dxa"/>
              <w:start w:w="90" w:type="dxa"/>
              <w:bottom w:w="100" w:type="dxa"/>
              <w:end w:w="90" w:type="dxa"/>
            </w:tcMar>
            <w:vAlign w:val="center"/>
          </w:tcPr>
          <w:p>
            <w:r>
              <w:rPr>
                <w:b w:val="0"/>
                <w:color w:val="36383E"/>
                <w:sz w:val="18"/>
              </w:rPr>
              <w:t>1 de septiembre de 2026</w:t>
            </w:r>
          </w:p>
        </w:tc>
      </w:tr>
      <w:tr>
        <w:tc>
          <w:tcPr>
            <w:tcW w:type="dxa" w:w="4997"/>
            <w:tcMar>
              <w:top w:w="100" w:type="dxa"/>
              <w:start w:w="90" w:type="dxa"/>
              <w:bottom w:w="100" w:type="dxa"/>
              <w:end w:w="90" w:type="dxa"/>
            </w:tcMar>
            <w:shd w:fill="E6E7E9"/>
            <w:vAlign w:val="center"/>
          </w:tcPr>
          <w:p>
            <w:r>
              <w:rPr>
                <w:b/>
                <w:color w:val="36383E"/>
                <w:sz w:val="18"/>
              </w:rPr>
              <w:t>Estado</w:t>
            </w:r>
          </w:p>
        </w:tc>
        <w:tc>
          <w:tcPr>
            <w:tcW w:type="dxa" w:w="4997"/>
            <w:tcMar>
              <w:top w:w="100" w:type="dxa"/>
              <w:start w:w="90" w:type="dxa"/>
              <w:bottom w:w="100" w:type="dxa"/>
              <w:end w:w="90" w:type="dxa"/>
            </w:tcMar>
            <w:vAlign w:val="center"/>
          </w:tcPr>
          <w:p>
            <w:r>
              <w:rPr>
                <w:b w:val="0"/>
                <w:color w:val="36383E"/>
                <w:sz w:val="18"/>
              </w:rPr>
              <w:t>Autoritativo para los siguientes incrementos</w:t>
            </w:r>
          </w:p>
        </w:tc>
      </w:tr>
      <w:tr>
        <w:tc>
          <w:tcPr>
            <w:tcW w:type="dxa" w:w="4997"/>
            <w:tcMar>
              <w:top w:w="100" w:type="dxa"/>
              <w:start w:w="90" w:type="dxa"/>
              <w:bottom w:w="100" w:type="dxa"/>
              <w:end w:w="90" w:type="dxa"/>
            </w:tcMar>
            <w:shd w:fill="E6E7E9"/>
            <w:vAlign w:val="center"/>
          </w:tcPr>
          <w:p>
            <w:r>
              <w:rPr>
                <w:b/>
                <w:color w:val="36383E"/>
                <w:sz w:val="18"/>
              </w:rPr>
              <w:t>Último gate confirmado</w:t>
            </w:r>
          </w:p>
        </w:tc>
        <w:tc>
          <w:tcPr>
            <w:tcW w:type="dxa" w:w="4997"/>
            <w:tcMar>
              <w:top w:w="100" w:type="dxa"/>
              <w:start w:w="90" w:type="dxa"/>
              <w:bottom w:w="100" w:type="dxa"/>
              <w:end w:w="90" w:type="dxa"/>
            </w:tcMar>
            <w:vAlign w:val="center"/>
          </w:tcPr>
          <w:p>
            <w:r>
              <w:rPr>
                <w:b w:val="0"/>
                <w:color w:val="36383E"/>
                <w:sz w:val="18"/>
              </w:rPr>
              <w:t>CL-003D.1 — KPI Authority Bridge: GREEN</w:t>
            </w:r>
          </w:p>
        </w:tc>
      </w:tr>
      <w:tr>
        <w:tc>
          <w:tcPr>
            <w:tcW w:type="dxa" w:w="4997"/>
            <w:tcMar>
              <w:top w:w="100" w:type="dxa"/>
              <w:start w:w="90" w:type="dxa"/>
              <w:bottom w:w="100" w:type="dxa"/>
              <w:end w:w="90" w:type="dxa"/>
            </w:tcMar>
            <w:shd w:fill="E6E7E9"/>
            <w:vAlign w:val="center"/>
          </w:tcPr>
          <w:p>
            <w:r>
              <w:rPr>
                <w:b/>
                <w:color w:val="36383E"/>
                <w:sz w:val="18"/>
              </w:rPr>
              <w:t>Próxima frontera</w:t>
            </w:r>
          </w:p>
        </w:tc>
        <w:tc>
          <w:tcPr>
            <w:tcW w:type="dxa" w:w="4997"/>
            <w:tcMar>
              <w:top w:w="100" w:type="dxa"/>
              <w:start w:w="90" w:type="dxa"/>
              <w:bottom w:w="100" w:type="dxa"/>
              <w:end w:w="90" w:type="dxa"/>
            </w:tcMar>
            <w:vAlign w:val="center"/>
          </w:tcPr>
          <w:p>
            <w:r>
              <w:rPr>
                <w:b w:val="0"/>
                <w:color w:val="36383E"/>
                <w:sz w:val="18"/>
              </w:rPr>
              <w:t>Tool Projection → KPI Destination Authority Bridge</w:t>
            </w:r>
          </w:p>
        </w:tc>
      </w:tr>
      <w:tr>
        <w:tc>
          <w:tcPr>
            <w:tcW w:type="dxa" w:w="4997"/>
            <w:tcMar>
              <w:top w:w="100" w:type="dxa"/>
              <w:start w:w="90" w:type="dxa"/>
              <w:bottom w:w="100" w:type="dxa"/>
              <w:end w:w="90" w:type="dxa"/>
            </w:tcMar>
            <w:shd w:fill="E6E7E9"/>
            <w:vAlign w:val="center"/>
          </w:tcPr>
          <w:p>
            <w:r>
              <w:rPr>
                <w:b/>
                <w:color w:val="36383E"/>
                <w:sz w:val="18"/>
              </w:rPr>
              <w:t>Regla de uso</w:t>
            </w:r>
          </w:p>
        </w:tc>
        <w:tc>
          <w:tcPr>
            <w:tcW w:type="dxa" w:w="4997"/>
            <w:tcMar>
              <w:top w:w="100" w:type="dxa"/>
              <w:start w:w="90" w:type="dxa"/>
              <w:bottom w:w="100" w:type="dxa"/>
              <w:end w:w="90" w:type="dxa"/>
            </w:tcMar>
            <w:vAlign w:val="center"/>
          </w:tcPr>
          <w:p>
            <w:r>
              <w:rPr>
                <w:b w:val="0"/>
                <w:color w:val="36383E"/>
                <w:sz w:val="18"/>
              </w:rPr>
              <w:t>No contradecir estas decisiones sin abrir una revisión explícita del contrato</w:t>
            </w:r>
          </w:p>
        </w:tc>
      </w:tr>
    </w:tbl>
    <w:p>
      <w:pPr>
        <w:spacing w:before="480"/>
        <w:jc w:val="center"/>
      </w:pPr>
      <w:r>
        <w:rPr>
          <w:color w:val="5C5E65"/>
          <w:sz w:val="18"/>
        </w:rPr>
        <w:t>Este documento consolida las decisiones tomadas para evitar reinterpretaciones posteriores durante la implementación del Manager, la proyección de datos, el rendering operacional y la integración de alarmas.</w:t>
      </w:r>
    </w:p>
    <w:p>
      <w:r>
        <w:br w:type="page"/>
      </w:r>
    </w:p>
    <w:p>
      <w:pPr>
        <w:pStyle w:val="Heading1"/>
      </w:pPr>
      <w:r>
        <w:t>1. Propósito y alcance</w:t>
      </w:r>
    </w:p>
    <w:p>
      <w:r>
        <w:t>Este documento congela la semántica funcional y arquitectónica que debe respetarse al continuar la cadena Tool Configuration → Tool Projection → KPI Configuration → KPI Definition → Render operacional → Alarmas. No redefine los paquetes ya cerrados; documenta cómo deben interactuar.</w:t>
      </w:r>
    </w:p>
    <w:p>
      <w:pPr>
        <w:pStyle w:val="Decision"/>
      </w:pPr>
      <w:r>
        <w:rPr>
          <w:b/>
        </w:rPr>
        <w:t xml:space="preserve">DECISIÓN CONGELADA · </w:t>
      </w:r>
      <w:r>
        <w:t>La configuración determina qué existe. Los datos determinan el estado de aquello que ya existe.</w:t>
      </w:r>
    </w:p>
    <w:p>
      <w:r>
        <w:t>La consecuencia principal es que la UI no puede depender de que llegue una primera medición para saber qué debe montar. Una herramienta correctamente configurada debe poder renderizarse completa incluso sobre un Cosmos DB completamente vacío.</w:t>
      </w:r>
    </w:p>
    <w:p>
      <w:pPr>
        <w:pStyle w:val="Heading2"/>
      </w:pPr>
      <w:r>
        <w:t>1.1 Estado de checkpoints relevantes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160"/>
            <w:shd w:fill="4A4C53"/>
            <w:tcMar>
              <w:top w:w="80" w:type="dxa"/>
              <w:start w:w="90" w:type="dxa"/>
              <w:bottom w:w="80" w:type="dxa"/>
              <w:end w:w="90" w:type="dxa"/>
            </w:tcMar>
            <w:vAlign w:val="center"/>
          </w:tcPr>
          <w:p>
            <w:pPr>
              <w:jc w:val="left"/>
            </w:pPr>
            <w:r>
              <w:rPr>
                <w:b/>
                <w:color w:val="FFFFFF"/>
                <w:sz w:val="17"/>
              </w:rPr>
              <w:t>Checkpoint</w:t>
            </w:r>
          </w:p>
        </w:tc>
        <w:tc>
          <w:tcPr>
            <w:tcW w:type="dxa" w:w="1728"/>
            <w:shd w:fill="4A4C53"/>
            <w:tcMar>
              <w:top w:w="80" w:type="dxa"/>
              <w:start w:w="90" w:type="dxa"/>
              <w:bottom w:w="80" w:type="dxa"/>
              <w:end w:w="90" w:type="dxa"/>
            </w:tcMar>
            <w:vAlign w:val="center"/>
          </w:tcPr>
          <w:p>
            <w:pPr>
              <w:jc w:val="left"/>
            </w:pPr>
            <w:r>
              <w:rPr>
                <w:b/>
                <w:color w:val="FFFFFF"/>
                <w:sz w:val="17"/>
              </w:rPr>
              <w:t>Estado</w:t>
            </w:r>
          </w:p>
        </w:tc>
        <w:tc>
          <w:tcPr>
            <w:tcW w:type="dxa" w:w="6768"/>
            <w:shd w:fill="4A4C53"/>
            <w:tcMar>
              <w:top w:w="80" w:type="dxa"/>
              <w:start w:w="90" w:type="dxa"/>
              <w:bottom w:w="80" w:type="dxa"/>
              <w:end w:w="90" w:type="dxa"/>
            </w:tcMar>
            <w:vAlign w:val="center"/>
          </w:tcPr>
          <w:p>
            <w:pPr>
              <w:jc w:val="left"/>
            </w:pPr>
            <w:r>
              <w:rPr>
                <w:b/>
                <w:color w:val="FFFFFF"/>
                <w:sz w:val="17"/>
              </w:rPr>
              <w:t>Resultado que queda vigente</w:t>
            </w:r>
          </w:p>
        </w:tc>
      </w:tr>
      <w:tr>
        <w:tc>
          <w:tcPr>
            <w:tcW w:type="dxa" w:w="2160"/>
            <w:tcMar>
              <w:top w:w="80" w:type="dxa"/>
              <w:start w:w="90" w:type="dxa"/>
              <w:bottom w:w="80" w:type="dxa"/>
              <w:end w:w="90" w:type="dxa"/>
            </w:tcMar>
            <w:shd w:fill="F7F7F8"/>
            <w:vAlign w:val="center"/>
          </w:tcPr>
          <w:p>
            <w:r>
              <w:rPr>
                <w:color w:val="36383E"/>
                <w:sz w:val="17"/>
              </w:rPr>
              <w:t>CL-003B / B.1 / B.2</w:t>
            </w:r>
          </w:p>
        </w:tc>
        <w:tc>
          <w:tcPr>
            <w:tcW w:type="dxa" w:w="1728"/>
            <w:tcMar>
              <w:top w:w="80" w:type="dxa"/>
              <w:start w:w="90" w:type="dxa"/>
              <w:bottom w:w="80" w:type="dxa"/>
              <w:end w:w="90" w:type="dxa"/>
            </w:tcMar>
            <w:shd w:fill="F7F7F8"/>
            <w:vAlign w:val="center"/>
          </w:tcPr>
          <w:p>
            <w:r>
              <w:rPr>
                <w:color w:val="36383E"/>
                <w:sz w:val="17"/>
              </w:rPr>
              <w:t>CLOSED / GREEN</w:t>
            </w:r>
          </w:p>
        </w:tc>
        <w:tc>
          <w:tcPr>
            <w:tcW w:type="dxa" w:w="6768"/>
            <w:tcMar>
              <w:top w:w="80" w:type="dxa"/>
              <w:start w:w="90" w:type="dxa"/>
              <w:bottom w:w="80" w:type="dxa"/>
              <w:end w:w="90" w:type="dxa"/>
            </w:tcMar>
            <w:shd w:fill="F7F7F8"/>
            <w:vAlign w:val="center"/>
          </w:tcPr>
          <w:p>
            <w:r>
              <w:rPr>
                <w:color w:val="36383E"/>
                <w:sz w:val="17"/>
              </w:rPr>
              <w:t>Tool Manager con edición completa de Sources + Structure y composición manual; DataTable retirado.</w:t>
            </w:r>
          </w:p>
        </w:tc>
      </w:tr>
      <w:tr>
        <w:tc>
          <w:tcPr>
            <w:tcW w:type="dxa" w:w="2160"/>
            <w:tcMar>
              <w:top w:w="80" w:type="dxa"/>
              <w:start w:w="90" w:type="dxa"/>
              <w:bottom w:w="80" w:type="dxa"/>
              <w:end w:w="90" w:type="dxa"/>
            </w:tcMar>
            <w:vAlign w:val="center"/>
          </w:tcPr>
          <w:p>
            <w:r>
              <w:rPr>
                <w:color w:val="36383E"/>
                <w:sz w:val="17"/>
              </w:rPr>
              <w:t>CL-003C</w:t>
            </w:r>
          </w:p>
        </w:tc>
        <w:tc>
          <w:tcPr>
            <w:tcW w:type="dxa" w:w="1728"/>
            <w:tcMar>
              <w:top w:w="80" w:type="dxa"/>
              <w:start w:w="90" w:type="dxa"/>
              <w:bottom w:w="80" w:type="dxa"/>
              <w:end w:w="90" w:type="dxa"/>
            </w:tcMar>
            <w:vAlign w:val="center"/>
          </w:tcPr>
          <w:p>
            <w:r>
              <w:rPr>
                <w:color w:val="36383E"/>
                <w:sz w:val="17"/>
              </w:rPr>
              <w:t>CLOSED / GREEN</w:t>
            </w:r>
          </w:p>
        </w:tc>
        <w:tc>
          <w:tcPr>
            <w:tcW w:type="dxa" w:w="6768"/>
            <w:tcMar>
              <w:top w:w="80" w:type="dxa"/>
              <w:start w:w="90" w:type="dxa"/>
              <w:bottom w:w="80" w:type="dxa"/>
              <w:end w:w="90" w:type="dxa"/>
            </w:tcMar>
            <w:vAlign w:val="center"/>
          </w:tcPr>
          <w:p>
            <w:r>
              <w:rPr>
                <w:color w:val="36383E"/>
                <w:sz w:val="17"/>
              </w:rPr>
              <w:t>KPI Configuration: identidad, destinos, Latest/Series, lifecycle/history/projection.</w:t>
            </w:r>
          </w:p>
        </w:tc>
      </w:tr>
      <w:tr>
        <w:tc>
          <w:tcPr>
            <w:tcW w:type="dxa" w:w="2160"/>
            <w:tcMar>
              <w:top w:w="80" w:type="dxa"/>
              <w:start w:w="90" w:type="dxa"/>
              <w:bottom w:w="80" w:type="dxa"/>
              <w:end w:w="90" w:type="dxa"/>
            </w:tcMar>
            <w:shd w:fill="F7F7F8"/>
            <w:vAlign w:val="center"/>
          </w:tcPr>
          <w:p>
            <w:r>
              <w:rPr>
                <w:color w:val="36383E"/>
                <w:sz w:val="17"/>
              </w:rPr>
              <w:t>CL-003D</w:t>
            </w:r>
          </w:p>
        </w:tc>
        <w:tc>
          <w:tcPr>
            <w:tcW w:type="dxa" w:w="1728"/>
            <w:tcMar>
              <w:top w:w="80" w:type="dxa"/>
              <w:start w:w="90" w:type="dxa"/>
              <w:bottom w:w="80" w:type="dxa"/>
              <w:end w:w="90" w:type="dxa"/>
            </w:tcMar>
            <w:shd w:fill="F7F7F8"/>
            <w:vAlign w:val="center"/>
          </w:tcPr>
          <w:p>
            <w:r>
              <w:rPr>
                <w:color w:val="36383E"/>
                <w:sz w:val="17"/>
              </w:rPr>
              <w:t>CLOSED / GREEN</w:t>
            </w:r>
          </w:p>
        </w:tc>
        <w:tc>
          <w:tcPr>
            <w:tcW w:type="dxa" w:w="6768"/>
            <w:tcMar>
              <w:top w:w="80" w:type="dxa"/>
              <w:start w:w="90" w:type="dxa"/>
              <w:bottom w:w="80" w:type="dxa"/>
              <w:end w:w="90" w:type="dxa"/>
            </w:tcMar>
            <w:shd w:fill="F7F7F8"/>
            <w:vAlign w:val="center"/>
          </w:tcPr>
          <w:p>
            <w:r>
              <w:rPr>
                <w:color w:val="36383E"/>
                <w:sz w:val="17"/>
              </w:rPr>
              <w:t>KPI Definition depende de autoridad KPI; DEFINED/MISSING/ORPHAN.</w:t>
            </w:r>
          </w:p>
        </w:tc>
      </w:tr>
      <w:tr>
        <w:tc>
          <w:tcPr>
            <w:tcW w:type="dxa" w:w="2160"/>
            <w:tcMar>
              <w:top w:w="80" w:type="dxa"/>
              <w:start w:w="90" w:type="dxa"/>
              <w:bottom w:w="80" w:type="dxa"/>
              <w:end w:w="90" w:type="dxa"/>
            </w:tcMar>
            <w:vAlign w:val="center"/>
          </w:tcPr>
          <w:p>
            <w:r>
              <w:rPr>
                <w:color w:val="36383E"/>
                <w:sz w:val="17"/>
              </w:rPr>
              <w:t>CL-003D.1</w:t>
            </w:r>
          </w:p>
        </w:tc>
        <w:tc>
          <w:tcPr>
            <w:tcW w:type="dxa" w:w="1728"/>
            <w:tcMar>
              <w:top w:w="80" w:type="dxa"/>
              <w:start w:w="90" w:type="dxa"/>
              <w:bottom w:w="80" w:type="dxa"/>
              <w:end w:w="90" w:type="dxa"/>
            </w:tcMar>
            <w:vAlign w:val="center"/>
          </w:tcPr>
          <w:p>
            <w:r>
              <w:rPr>
                <w:color w:val="36383E"/>
                <w:sz w:val="17"/>
              </w:rPr>
              <w:t>CLOSED / GREEN</w:t>
            </w:r>
          </w:p>
        </w:tc>
        <w:tc>
          <w:tcPr>
            <w:tcW w:type="dxa" w:w="6768"/>
            <w:tcMar>
              <w:top w:w="80" w:type="dxa"/>
              <w:start w:w="90" w:type="dxa"/>
              <w:bottom w:w="80" w:type="dxa"/>
              <w:end w:w="90" w:type="dxa"/>
            </w:tcMar>
            <w:vAlign w:val="center"/>
          </w:tcPr>
          <w:p>
            <w:r>
              <w:rPr>
                <w:color w:val="36383E"/>
                <w:sz w:val="17"/>
              </w:rPr>
              <w:t>KPI Configuration Projection → KpiCatalog → Definition Authority Bridge.</w:t>
            </w:r>
          </w:p>
        </w:tc>
      </w:tr>
    </w:tbl>
    <w:p>
      <w:pPr>
        <w:spacing w:after="20"/>
      </w:pPr>
    </w:p>
    <w:p>
      <w:pPr>
        <w:pStyle w:val="Heading1"/>
      </w:pPr>
      <w:r>
        <w:t>2. Cadena autoritativa completa</w:t>
      </w:r>
    </w:p>
    <w:p>
      <w:pPr>
        <w:pStyle w:val="CodeBlock"/>
        <w:shd w:fill="F3F4F5"/>
      </w:pPr>
      <w:r>
        <w:t>Tool Configuration</w:t>
        <w:br/>
        <w:t xml:space="preserve">        ↓</w:t>
        <w:br/>
        <w:t>Tool Projection</w:t>
        <w:br/>
        <w:t xml:space="preserve">        ↓</w:t>
        <w:br/>
        <w:t>KPI Destination Catalog</w:t>
        <w:br/>
        <w:t xml:space="preserve">        ↓</w:t>
        <w:br/>
        <w:t>KPI Configuration</w:t>
        <w:br/>
        <w:t xml:space="preserve">        ↓</w:t>
        <w:br/>
        <w:t>KPI Configuration Projection</w:t>
        <w:br/>
        <w:t xml:space="preserve">        ├── Delivery contract</w:t>
        <w:br/>
        <w:t xml:space="preserve">        └── KpiCatalog</w:t>
        <w:br/>
        <w:t xml:space="preserve">                ↓</w:t>
        <w:br/>
        <w:t xml:space="preserve">        KPI Definition Authority</w:t>
        <w:br/>
        <w:t xml:space="preserve">                ↓</w:t>
        <w:br/>
        <w:t xml:space="preserve">        KPI Definition</w:t>
        <w:br/>
        <w:t xml:space="preserve">                ↓</w:t>
        <w:br/>
        <w:t xml:space="preserve">        Operational Render / Inspection</w:t>
        <w:br/>
        <w:t xml:space="preserve">                ↓</w:t>
        <w:br/>
        <w:t xml:space="preserve">        Alarm visual state</w:t>
      </w:r>
    </w:p>
    <w:p>
      <w:r>
        <w:t>Cada eslabón tiene una autoridad distinta. No se debe usar el estado de datos para sustituir a la configuración, ni la configuración visual para sustituir a la política de entrega, ni las alarmas para determinar la existencia estructural.</w:t>
      </w:r>
    </w:p>
    <w:p>
      <w:r>
        <w:br w:type="page"/>
      </w:r>
    </w:p>
    <w:p>
      <w:pPr>
        <w:pStyle w:val="Heading2"/>
      </w:pPr>
      <w:r>
        <w:t>2.1 Autoridades por responsabilidad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464"/>
            <w:shd w:fill="4A4C53"/>
            <w:tcMar>
              <w:top w:w="80" w:type="dxa"/>
              <w:start w:w="90" w:type="dxa"/>
              <w:bottom w:w="80" w:type="dxa"/>
              <w:end w:w="90" w:type="dxa"/>
            </w:tcMar>
            <w:vAlign w:val="center"/>
          </w:tcPr>
          <w:p>
            <w:pPr>
              <w:jc w:val="left"/>
            </w:pPr>
            <w:r>
              <w:rPr>
                <w:b/>
                <w:color w:val="FFFFFF"/>
                <w:sz w:val="17"/>
              </w:rPr>
              <w:t>Responsabilidad</w:t>
            </w:r>
          </w:p>
        </w:tc>
        <w:tc>
          <w:tcPr>
            <w:tcW w:type="dxa" w:w="6192"/>
            <w:shd w:fill="4A4C53"/>
            <w:tcMar>
              <w:top w:w="80" w:type="dxa"/>
              <w:start w:w="90" w:type="dxa"/>
              <w:bottom w:w="80" w:type="dxa"/>
              <w:end w:w="90" w:type="dxa"/>
            </w:tcMar>
            <w:vAlign w:val="center"/>
          </w:tcPr>
          <w:p>
            <w:pPr>
              <w:jc w:val="left"/>
            </w:pPr>
            <w:r>
              <w:rPr>
                <w:b/>
                <w:color w:val="FFFFFF"/>
                <w:sz w:val="17"/>
              </w:rPr>
              <w:t>Autoridad</w:t>
            </w:r>
          </w:p>
        </w:tc>
      </w:tr>
      <w:tr>
        <w:tc>
          <w:tcPr>
            <w:tcW w:type="dxa" w:w="4464"/>
            <w:tcMar>
              <w:top w:w="80" w:type="dxa"/>
              <w:start w:w="90" w:type="dxa"/>
              <w:bottom w:w="80" w:type="dxa"/>
              <w:end w:w="90" w:type="dxa"/>
            </w:tcMar>
            <w:shd w:fill="F7F7F8"/>
            <w:vAlign w:val="center"/>
          </w:tcPr>
          <w:p>
            <w:r>
              <w:rPr>
                <w:color w:val="36383E"/>
                <w:sz w:val="17"/>
              </w:rPr>
              <w:t>Qué estructura existe en la herramienta</w:t>
            </w:r>
          </w:p>
        </w:tc>
        <w:tc>
          <w:tcPr>
            <w:tcW w:type="dxa" w:w="6192"/>
            <w:tcMar>
              <w:top w:w="80" w:type="dxa"/>
              <w:start w:w="90" w:type="dxa"/>
              <w:bottom w:w="80" w:type="dxa"/>
              <w:end w:w="90" w:type="dxa"/>
            </w:tcMar>
            <w:shd w:fill="F7F7F8"/>
            <w:vAlign w:val="center"/>
          </w:tcPr>
          <w:p>
            <w:r>
              <w:rPr>
                <w:color w:val="36383E"/>
                <w:sz w:val="17"/>
              </w:rPr>
              <w:t>Tool Configuration / Tool Structure</w:t>
            </w:r>
          </w:p>
        </w:tc>
      </w:tr>
      <w:tr>
        <w:tc>
          <w:tcPr>
            <w:tcW w:type="dxa" w:w="4464"/>
            <w:tcMar>
              <w:top w:w="80" w:type="dxa"/>
              <w:start w:w="90" w:type="dxa"/>
              <w:bottom w:w="80" w:type="dxa"/>
              <w:end w:w="90" w:type="dxa"/>
            </w:tcMar>
            <w:vAlign w:val="center"/>
          </w:tcPr>
          <w:p>
            <w:r>
              <w:rPr>
                <w:color w:val="36383E"/>
                <w:sz w:val="17"/>
              </w:rPr>
              <w:t>Qué componentes son destinos KPI</w:t>
            </w:r>
          </w:p>
        </w:tc>
        <w:tc>
          <w:tcPr>
            <w:tcW w:type="dxa" w:w="6192"/>
            <w:tcMar>
              <w:top w:w="80" w:type="dxa"/>
              <w:start w:w="90" w:type="dxa"/>
              <w:bottom w:w="80" w:type="dxa"/>
              <w:end w:w="90" w:type="dxa"/>
            </w:tcMar>
            <w:vAlign w:val="center"/>
          </w:tcPr>
          <w:p>
            <w:r>
              <w:rPr>
                <w:color w:val="36383E"/>
                <w:sz w:val="17"/>
              </w:rPr>
              <w:t>Tool Projection → KPI Destination Catalog</w:t>
            </w:r>
          </w:p>
        </w:tc>
      </w:tr>
      <w:tr>
        <w:tc>
          <w:tcPr>
            <w:tcW w:type="dxa" w:w="4464"/>
            <w:tcMar>
              <w:top w:w="80" w:type="dxa"/>
              <w:start w:w="90" w:type="dxa"/>
              <w:bottom w:w="80" w:type="dxa"/>
              <w:end w:w="90" w:type="dxa"/>
            </w:tcMar>
            <w:shd w:fill="F7F7F8"/>
            <w:vAlign w:val="center"/>
          </w:tcPr>
          <w:p>
            <w:r>
              <w:rPr>
                <w:color w:val="36383E"/>
                <w:sz w:val="17"/>
              </w:rPr>
              <w:t>Qué KPIs existen y dónde participan</w:t>
            </w:r>
          </w:p>
        </w:tc>
        <w:tc>
          <w:tcPr>
            <w:tcW w:type="dxa" w:w="6192"/>
            <w:tcMar>
              <w:top w:w="80" w:type="dxa"/>
              <w:start w:w="90" w:type="dxa"/>
              <w:bottom w:w="80" w:type="dxa"/>
              <w:end w:w="90" w:type="dxa"/>
            </w:tcMar>
            <w:shd w:fill="F7F7F8"/>
            <w:vAlign w:val="center"/>
          </w:tcPr>
          <w:p>
            <w:r>
              <w:rPr>
                <w:color w:val="36383E"/>
                <w:sz w:val="17"/>
              </w:rPr>
              <w:t>KPI Configuration</w:t>
            </w:r>
          </w:p>
        </w:tc>
      </w:tr>
      <w:tr>
        <w:tc>
          <w:tcPr>
            <w:tcW w:type="dxa" w:w="4464"/>
            <w:tcMar>
              <w:top w:w="80" w:type="dxa"/>
              <w:start w:w="90" w:type="dxa"/>
              <w:bottom w:w="80" w:type="dxa"/>
              <w:end w:w="90" w:type="dxa"/>
            </w:tcMar>
            <w:vAlign w:val="center"/>
          </w:tcPr>
          <w:p>
            <w:r>
              <w:rPr>
                <w:color w:val="36383E"/>
                <w:sz w:val="17"/>
              </w:rPr>
              <w:t>Latest / Series / Series Hours</w:t>
            </w:r>
          </w:p>
        </w:tc>
        <w:tc>
          <w:tcPr>
            <w:tcW w:type="dxa" w:w="6192"/>
            <w:tcMar>
              <w:top w:w="80" w:type="dxa"/>
              <w:start w:w="90" w:type="dxa"/>
              <w:bottom w:w="80" w:type="dxa"/>
              <w:end w:w="90" w:type="dxa"/>
            </w:tcMar>
            <w:vAlign w:val="center"/>
          </w:tcPr>
          <w:p>
            <w:r>
              <w:rPr>
                <w:color w:val="36383E"/>
                <w:sz w:val="17"/>
              </w:rPr>
              <w:t>KPI Configuration; KPI Delivery sólo ejecuta la política</w:t>
            </w:r>
          </w:p>
        </w:tc>
      </w:tr>
      <w:tr>
        <w:tc>
          <w:tcPr>
            <w:tcW w:type="dxa" w:w="4464"/>
            <w:tcMar>
              <w:top w:w="80" w:type="dxa"/>
              <w:start w:w="90" w:type="dxa"/>
              <w:bottom w:w="80" w:type="dxa"/>
              <w:end w:w="90" w:type="dxa"/>
            </w:tcMar>
            <w:shd w:fill="F7F7F8"/>
            <w:vAlign w:val="center"/>
          </w:tcPr>
          <w:p>
            <w:r>
              <w:rPr>
                <w:color w:val="36383E"/>
                <w:sz w:val="17"/>
              </w:rPr>
              <w:t>Qué significa cada KPI</w:t>
            </w:r>
          </w:p>
        </w:tc>
        <w:tc>
          <w:tcPr>
            <w:tcW w:type="dxa" w:w="6192"/>
            <w:tcMar>
              <w:top w:w="80" w:type="dxa"/>
              <w:start w:w="90" w:type="dxa"/>
              <w:bottom w:w="80" w:type="dxa"/>
              <w:end w:w="90" w:type="dxa"/>
            </w:tcMar>
            <w:shd w:fill="F7F7F8"/>
            <w:vAlign w:val="center"/>
          </w:tcPr>
          <w:p>
            <w:r>
              <w:rPr>
                <w:color w:val="36383E"/>
                <w:sz w:val="17"/>
              </w:rPr>
              <w:t>KPI Definition</w:t>
            </w:r>
          </w:p>
        </w:tc>
      </w:tr>
      <w:tr>
        <w:tc>
          <w:tcPr>
            <w:tcW w:type="dxa" w:w="4464"/>
            <w:tcMar>
              <w:top w:w="80" w:type="dxa"/>
              <w:start w:w="90" w:type="dxa"/>
              <w:bottom w:w="80" w:type="dxa"/>
              <w:end w:w="90" w:type="dxa"/>
            </w:tcMar>
            <w:vAlign w:val="center"/>
          </w:tcPr>
          <w:p>
            <w:r>
              <w:rPr>
                <w:color w:val="36383E"/>
                <w:sz w:val="17"/>
              </w:rPr>
              <w:t>Qué valor existe ahora</w:t>
            </w:r>
          </w:p>
        </w:tc>
        <w:tc>
          <w:tcPr>
            <w:tcW w:type="dxa" w:w="6192"/>
            <w:tcMar>
              <w:top w:w="80" w:type="dxa"/>
              <w:start w:w="90" w:type="dxa"/>
              <w:bottom w:w="80" w:type="dxa"/>
              <w:end w:w="90" w:type="dxa"/>
            </w:tcMar>
            <w:vAlign w:val="center"/>
          </w:tcPr>
          <w:p>
            <w:r>
              <w:rPr>
                <w:color w:val="36383E"/>
                <w:sz w:val="17"/>
              </w:rPr>
              <w:t>Collector / Store / Delivery</w:t>
            </w:r>
          </w:p>
        </w:tc>
      </w:tr>
      <w:tr>
        <w:tc>
          <w:tcPr>
            <w:tcW w:type="dxa" w:w="4464"/>
            <w:tcMar>
              <w:top w:w="80" w:type="dxa"/>
              <w:start w:w="90" w:type="dxa"/>
              <w:bottom w:w="80" w:type="dxa"/>
              <w:end w:w="90" w:type="dxa"/>
            </w:tcMar>
            <w:shd w:fill="F7F7F8"/>
            <w:vAlign w:val="center"/>
          </w:tcPr>
          <w:p>
            <w:r>
              <w:rPr>
                <w:color w:val="36383E"/>
                <w:sz w:val="17"/>
              </w:rPr>
              <w:t>Qué estado visual mostrar</w:t>
            </w:r>
          </w:p>
        </w:tc>
        <w:tc>
          <w:tcPr>
            <w:tcW w:type="dxa" w:w="6192"/>
            <w:tcMar>
              <w:top w:w="80" w:type="dxa"/>
              <w:start w:w="90" w:type="dxa"/>
              <w:bottom w:w="80" w:type="dxa"/>
              <w:end w:w="90" w:type="dxa"/>
            </w:tcMar>
            <w:shd w:fill="F7F7F8"/>
            <w:vAlign w:val="center"/>
          </w:tcPr>
          <w:p>
            <w:r>
              <w:rPr>
                <w:color w:val="36383E"/>
                <w:sz w:val="17"/>
              </w:rPr>
              <w:t>Renderer a partir de contrato + datos + estado</w:t>
            </w:r>
          </w:p>
        </w:tc>
      </w:tr>
      <w:tr>
        <w:tc>
          <w:tcPr>
            <w:tcW w:type="dxa" w:w="4464"/>
            <w:tcMar>
              <w:top w:w="80" w:type="dxa"/>
              <w:start w:w="90" w:type="dxa"/>
              <w:bottom w:w="80" w:type="dxa"/>
              <w:end w:w="90" w:type="dxa"/>
            </w:tcMar>
            <w:vAlign w:val="center"/>
          </w:tcPr>
          <w:p>
            <w:r>
              <w:rPr>
                <w:color w:val="36383E"/>
                <w:sz w:val="17"/>
              </w:rPr>
              <w:t>Qué fase/componente debe colorearse</w:t>
            </w:r>
          </w:p>
        </w:tc>
        <w:tc>
          <w:tcPr>
            <w:tcW w:type="dxa" w:w="6192"/>
            <w:tcMar>
              <w:top w:w="80" w:type="dxa"/>
              <w:start w:w="90" w:type="dxa"/>
              <w:bottom w:w="80" w:type="dxa"/>
              <w:end w:w="90" w:type="dxa"/>
            </w:tcMar>
            <w:vAlign w:val="center"/>
          </w:tcPr>
          <w:p>
            <w:r>
              <w:rPr>
                <w:color w:val="36383E"/>
                <w:sz w:val="17"/>
              </w:rPr>
              <w:t>Contratos de alarmas derivados de Tool Structure</w:t>
            </w:r>
          </w:p>
        </w:tc>
      </w:tr>
    </w:tbl>
    <w:p>
      <w:pPr>
        <w:spacing w:after="20"/>
      </w:pPr>
    </w:p>
    <w:p>
      <w:pPr>
        <w:pStyle w:val="Heading1"/>
      </w:pPr>
      <w:r>
        <w:t>3. Tool como contrato de construcción manual de UI</w:t>
      </w:r>
    </w:p>
    <w:p>
      <w:pPr>
        <w:pStyle w:val="Decision"/>
      </w:pPr>
      <w:r>
        <w:rPr>
          <w:b/>
        </w:rPr>
        <w:t xml:space="preserve">DECISIÓN CONGELADA · </w:t>
      </w:r>
      <w:r>
        <w:t>Tool Configuration describe la estructura que debe existir, no los datos que hoy están disponibles.</w:t>
      </w:r>
    </w:p>
    <w:p>
      <w:r>
        <w:t>La herramienta se construye manualmente a partir de su estructura declarada. Si un Component no está definido en la Tool, no debe montarse. Si está definido, debe montarse aunque su Store o el backend todavía no contengan ninguna medición.</w:t>
      </w:r>
    </w:p>
    <w:p>
      <w:pPr>
        <w:pStyle w:val="Heading2"/>
      </w:pPr>
      <w:r>
        <w:t>3.1 Granularidades que no deben confundirse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728"/>
            <w:shd w:fill="4A4C53"/>
            <w:tcMar>
              <w:top w:w="80" w:type="dxa"/>
              <w:start w:w="90" w:type="dxa"/>
              <w:bottom w:w="80" w:type="dxa"/>
              <w:end w:w="90" w:type="dxa"/>
            </w:tcMar>
            <w:vAlign w:val="center"/>
          </w:tcPr>
          <w:p>
            <w:pPr>
              <w:jc w:val="left"/>
            </w:pPr>
            <w:r>
              <w:rPr>
                <w:b/>
                <w:color w:val="FFFFFF"/>
                <w:sz w:val="16"/>
              </w:rPr>
              <w:t>Nivel</w:t>
            </w:r>
          </w:p>
        </w:tc>
        <w:tc>
          <w:tcPr>
            <w:tcW w:type="dxa" w:w="3744"/>
            <w:shd w:fill="4A4C53"/>
            <w:tcMar>
              <w:top w:w="80" w:type="dxa"/>
              <w:start w:w="90" w:type="dxa"/>
              <w:bottom w:w="80" w:type="dxa"/>
              <w:end w:w="90" w:type="dxa"/>
            </w:tcMar>
            <w:vAlign w:val="center"/>
          </w:tcPr>
          <w:p>
            <w:pPr>
              <w:jc w:val="left"/>
            </w:pPr>
            <w:r>
              <w:rPr>
                <w:b/>
                <w:color w:val="FFFFFF"/>
                <w:sz w:val="16"/>
              </w:rPr>
              <w:t>Rol</w:t>
            </w:r>
          </w:p>
        </w:tc>
        <w:tc>
          <w:tcPr>
            <w:tcW w:type="dxa" w:w="1728"/>
            <w:shd w:fill="4A4C53"/>
            <w:tcMar>
              <w:top w:w="80" w:type="dxa"/>
              <w:start w:w="90" w:type="dxa"/>
              <w:bottom w:w="80" w:type="dxa"/>
              <w:end w:w="90" w:type="dxa"/>
            </w:tcMar>
            <w:vAlign w:val="center"/>
          </w:tcPr>
          <w:p>
            <w:pPr>
              <w:jc w:val="left"/>
            </w:pPr>
            <w:r>
              <w:rPr>
                <w:b/>
                <w:color w:val="FFFFFF"/>
                <w:sz w:val="16"/>
              </w:rPr>
              <w:t>Tiene Store/Collector</w:t>
            </w:r>
          </w:p>
        </w:tc>
        <w:tc>
          <w:tcPr>
            <w:tcW w:type="dxa" w:w="1440"/>
            <w:shd w:fill="4A4C53"/>
            <w:tcMar>
              <w:top w:w="80" w:type="dxa"/>
              <w:start w:w="90" w:type="dxa"/>
              <w:bottom w:w="80" w:type="dxa"/>
              <w:end w:w="90" w:type="dxa"/>
            </w:tcMar>
            <w:vAlign w:val="center"/>
          </w:tcPr>
          <w:p>
            <w:pPr>
              <w:jc w:val="left"/>
            </w:pPr>
            <w:r>
              <w:rPr>
                <w:b/>
                <w:color w:val="FFFFFF"/>
                <w:sz w:val="16"/>
              </w:rPr>
              <w:t>Destino KPI</w:t>
            </w:r>
          </w:p>
        </w:tc>
        <w:tc>
          <w:tcPr>
            <w:tcW w:type="dxa" w:w="2160"/>
            <w:shd w:fill="4A4C53"/>
            <w:tcMar>
              <w:top w:w="80" w:type="dxa"/>
              <w:start w:w="90" w:type="dxa"/>
              <w:bottom w:w="80" w:type="dxa"/>
              <w:end w:w="90" w:type="dxa"/>
            </w:tcMar>
            <w:vAlign w:val="center"/>
          </w:tcPr>
          <w:p>
            <w:pPr>
              <w:jc w:val="left"/>
            </w:pPr>
            <w:r>
              <w:rPr>
                <w:b/>
                <w:color w:val="FFFFFF"/>
                <w:sz w:val="16"/>
              </w:rPr>
              <w:t>Target visual de alarma</w:t>
            </w:r>
          </w:p>
        </w:tc>
      </w:tr>
      <w:tr>
        <w:tc>
          <w:tcPr>
            <w:tcW w:type="dxa" w:w="1728"/>
            <w:tcMar>
              <w:top w:w="80" w:type="dxa"/>
              <w:start w:w="90" w:type="dxa"/>
              <w:bottom w:w="80" w:type="dxa"/>
              <w:end w:w="90" w:type="dxa"/>
            </w:tcMar>
            <w:shd w:fill="F7F7F8"/>
            <w:vAlign w:val="center"/>
          </w:tcPr>
          <w:p>
            <w:r>
              <w:rPr>
                <w:color w:val="36383E"/>
                <w:sz w:val="16"/>
              </w:rPr>
              <w:t>Tool</w:t>
            </w:r>
          </w:p>
        </w:tc>
        <w:tc>
          <w:tcPr>
            <w:tcW w:type="dxa" w:w="3744"/>
            <w:tcMar>
              <w:top w:w="80" w:type="dxa"/>
              <w:start w:w="90" w:type="dxa"/>
              <w:bottom w:w="80" w:type="dxa"/>
              <w:end w:w="90" w:type="dxa"/>
            </w:tcMar>
            <w:shd w:fill="F7F7F8"/>
            <w:vAlign w:val="center"/>
          </w:tcPr>
          <w:p>
            <w:r>
              <w:rPr>
                <w:color w:val="36383E"/>
                <w:sz w:val="16"/>
              </w:rPr>
              <w:t>Composición completa de la aplicación</w:t>
            </w:r>
          </w:p>
        </w:tc>
        <w:tc>
          <w:tcPr>
            <w:tcW w:type="dxa" w:w="1728"/>
            <w:tcMar>
              <w:top w:w="80" w:type="dxa"/>
              <w:start w:w="90" w:type="dxa"/>
              <w:bottom w:w="80" w:type="dxa"/>
              <w:end w:w="90" w:type="dxa"/>
            </w:tcMar>
            <w:shd w:fill="F7F7F8"/>
            <w:vAlign w:val="center"/>
          </w:tcPr>
          <w:p>
            <w:r>
              <w:rPr>
                <w:color w:val="36383E"/>
                <w:sz w:val="16"/>
              </w:rPr>
              <w:t>No directamente</w:t>
            </w:r>
          </w:p>
        </w:tc>
        <w:tc>
          <w:tcPr>
            <w:tcW w:type="dxa" w:w="1440"/>
            <w:tcMar>
              <w:top w:w="80" w:type="dxa"/>
              <w:start w:w="90" w:type="dxa"/>
              <w:bottom w:w="80" w:type="dxa"/>
              <w:end w:w="90" w:type="dxa"/>
            </w:tcMar>
            <w:shd w:fill="F7F7F8"/>
            <w:vAlign w:val="center"/>
          </w:tcPr>
          <w:p>
            <w:r>
              <w:rPr>
                <w:color w:val="36383E"/>
                <w:sz w:val="16"/>
              </w:rPr>
              <w:t>No</w:t>
            </w:r>
          </w:p>
        </w:tc>
        <w:tc>
          <w:tcPr>
            <w:tcW w:type="dxa" w:w="2160"/>
            <w:tcMar>
              <w:top w:w="80" w:type="dxa"/>
              <w:start w:w="90" w:type="dxa"/>
              <w:bottom w:w="80" w:type="dxa"/>
              <w:end w:w="90" w:type="dxa"/>
            </w:tcMar>
            <w:shd w:fill="F7F7F8"/>
            <w:vAlign w:val="center"/>
          </w:tcPr>
          <w:p>
            <w:r>
              <w:rPr>
                <w:color w:val="36383E"/>
                <w:sz w:val="16"/>
              </w:rPr>
              <w:t>Contexto</w:t>
            </w:r>
          </w:p>
        </w:tc>
      </w:tr>
      <w:tr>
        <w:tc>
          <w:tcPr>
            <w:tcW w:type="dxa" w:w="1728"/>
            <w:tcMar>
              <w:top w:w="80" w:type="dxa"/>
              <w:start w:w="90" w:type="dxa"/>
              <w:bottom w:w="80" w:type="dxa"/>
              <w:end w:w="90" w:type="dxa"/>
            </w:tcMar>
            <w:vAlign w:val="center"/>
          </w:tcPr>
          <w:p>
            <w:r>
              <w:rPr>
                <w:color w:val="36383E"/>
                <w:sz w:val="16"/>
              </w:rPr>
              <w:t>Component</w:t>
            </w:r>
          </w:p>
        </w:tc>
        <w:tc>
          <w:tcPr>
            <w:tcW w:type="dxa" w:w="3744"/>
            <w:tcMar>
              <w:top w:w="80" w:type="dxa"/>
              <w:start w:w="90" w:type="dxa"/>
              <w:bottom w:w="80" w:type="dxa"/>
              <w:end w:w="90" w:type="dxa"/>
            </w:tcMar>
            <w:vAlign w:val="center"/>
          </w:tcPr>
          <w:p>
            <w:r>
              <w:rPr>
                <w:color w:val="36383E"/>
                <w:sz w:val="16"/>
              </w:rPr>
              <w:t>Unidad funcional y de datos</w:t>
            </w:r>
          </w:p>
        </w:tc>
        <w:tc>
          <w:tcPr>
            <w:tcW w:type="dxa" w:w="1728"/>
            <w:tcMar>
              <w:top w:w="80" w:type="dxa"/>
              <w:start w:w="90" w:type="dxa"/>
              <w:bottom w:w="80" w:type="dxa"/>
              <w:end w:w="90" w:type="dxa"/>
            </w:tcMar>
            <w:vAlign w:val="center"/>
          </w:tcPr>
          <w:p>
            <w:r>
              <w:rPr>
                <w:color w:val="36383E"/>
                <w:sz w:val="16"/>
              </w:rPr>
              <w:t>Sí</w:t>
            </w:r>
          </w:p>
        </w:tc>
        <w:tc>
          <w:tcPr>
            <w:tcW w:type="dxa" w:w="1440"/>
            <w:tcMar>
              <w:top w:w="80" w:type="dxa"/>
              <w:start w:w="90" w:type="dxa"/>
              <w:bottom w:w="80" w:type="dxa"/>
              <w:end w:w="90" w:type="dxa"/>
            </w:tcMar>
            <w:vAlign w:val="center"/>
          </w:tcPr>
          <w:p>
            <w:r>
              <w:rPr>
                <w:color w:val="36383E"/>
                <w:sz w:val="16"/>
              </w:rPr>
              <w:t>Sí</w:t>
            </w:r>
          </w:p>
        </w:tc>
        <w:tc>
          <w:tcPr>
            <w:tcW w:type="dxa" w:w="2160"/>
            <w:tcMar>
              <w:top w:w="80" w:type="dxa"/>
              <w:start w:w="90" w:type="dxa"/>
              <w:bottom w:w="80" w:type="dxa"/>
              <w:end w:w="90" w:type="dxa"/>
            </w:tcMar>
            <w:vAlign w:val="center"/>
          </w:tcPr>
          <w:p>
            <w:r>
              <w:rPr>
                <w:color w:val="36383E"/>
                <w:sz w:val="16"/>
              </w:rPr>
              <w:t>Sí, baseline/ámbito</w:t>
            </w:r>
          </w:p>
        </w:tc>
      </w:tr>
      <w:tr>
        <w:tc>
          <w:tcPr>
            <w:tcW w:type="dxa" w:w="1728"/>
            <w:tcMar>
              <w:top w:w="80" w:type="dxa"/>
              <w:start w:w="90" w:type="dxa"/>
              <w:bottom w:w="80" w:type="dxa"/>
              <w:end w:w="90" w:type="dxa"/>
            </w:tcMar>
            <w:shd w:fill="F7F7F8"/>
            <w:vAlign w:val="center"/>
          </w:tcPr>
          <w:p>
            <w:r>
              <w:rPr>
                <w:color w:val="36383E"/>
                <w:sz w:val="16"/>
              </w:rPr>
              <w:t>Subcomponent</w:t>
            </w:r>
          </w:p>
        </w:tc>
        <w:tc>
          <w:tcPr>
            <w:tcW w:type="dxa" w:w="3744"/>
            <w:tcMar>
              <w:top w:w="80" w:type="dxa"/>
              <w:start w:w="90" w:type="dxa"/>
              <w:bottom w:w="80" w:type="dxa"/>
              <w:end w:w="90" w:type="dxa"/>
            </w:tcMar>
            <w:shd w:fill="F7F7F8"/>
            <w:vAlign w:val="center"/>
          </w:tcPr>
          <w:p>
            <w:r>
              <w:rPr>
                <w:color w:val="36383E"/>
                <w:sz w:val="16"/>
              </w:rPr>
              <w:t>Fase o unidad de presentación interna</w:t>
            </w:r>
          </w:p>
        </w:tc>
        <w:tc>
          <w:tcPr>
            <w:tcW w:type="dxa" w:w="1728"/>
            <w:tcMar>
              <w:top w:w="80" w:type="dxa"/>
              <w:start w:w="90" w:type="dxa"/>
              <w:bottom w:w="80" w:type="dxa"/>
              <w:end w:w="90" w:type="dxa"/>
            </w:tcMar>
            <w:shd w:fill="F7F7F8"/>
            <w:vAlign w:val="center"/>
          </w:tcPr>
          <w:p>
            <w:r>
              <w:rPr>
                <w:color w:val="36383E"/>
                <w:sz w:val="16"/>
              </w:rPr>
              <w:t>No</w:t>
            </w:r>
          </w:p>
        </w:tc>
        <w:tc>
          <w:tcPr>
            <w:tcW w:type="dxa" w:w="1440"/>
            <w:tcMar>
              <w:top w:w="80" w:type="dxa"/>
              <w:start w:w="90" w:type="dxa"/>
              <w:bottom w:w="80" w:type="dxa"/>
              <w:end w:w="90" w:type="dxa"/>
            </w:tcMar>
            <w:shd w:fill="F7F7F8"/>
            <w:vAlign w:val="center"/>
          </w:tcPr>
          <w:p>
            <w:r>
              <w:rPr>
                <w:color w:val="36383E"/>
                <w:sz w:val="16"/>
              </w:rPr>
              <w:t>No</w:t>
            </w:r>
          </w:p>
        </w:tc>
        <w:tc>
          <w:tcPr>
            <w:tcW w:type="dxa" w:w="2160"/>
            <w:tcMar>
              <w:top w:w="80" w:type="dxa"/>
              <w:start w:w="90" w:type="dxa"/>
              <w:bottom w:w="80" w:type="dxa"/>
              <w:end w:w="90" w:type="dxa"/>
            </w:tcMar>
            <w:shd w:fill="F7F7F8"/>
            <w:vAlign w:val="center"/>
          </w:tcPr>
          <w:p>
            <w:r>
              <w:rPr>
                <w:color w:val="36383E"/>
                <w:sz w:val="16"/>
              </w:rPr>
              <w:t>Sí, granularidad de color</w:t>
            </w:r>
          </w:p>
        </w:tc>
      </w:tr>
    </w:tbl>
    <w:p>
      <w:pPr>
        <w:spacing w:after="20"/>
      </w:pPr>
    </w:p>
    <w:p>
      <w:pPr>
        <w:pStyle w:val="Decision"/>
      </w:pPr>
      <w:r>
        <w:rPr>
          <w:b/>
        </w:rPr>
        <w:t xml:space="preserve">DECISIÓN CONGELADA · </w:t>
      </w:r>
      <w:r>
        <w:t>Component es la frontera de datos; Subcomponent es la frontera visual interna cuando corresponde.</w:t>
      </w:r>
    </w:p>
    <w:p>
      <w:pPr>
        <w:pStyle w:val="Heading2"/>
      </w:pPr>
      <w:r>
        <w:t>3.2 Un Component no equivale necesariamente a un único card</w:t>
      </w:r>
    </w:p>
    <w:p>
      <w:r>
        <w:t>El Component es una unidad funcional, de Store, Collector y destino KPI. Su representación puede ser un card grande o puede desplegar varios cards hermanos derivados de sus Subcomponents. La geometría visual no redefine la granularidad de datos.</w:t>
      </w:r>
    </w:p>
    <w:p>
      <w:pPr>
        <w:pStyle w:val="CodeBlock"/>
        <w:shd w:fill="F3F4F5"/>
      </w:pPr>
      <w:r>
        <w:t>1 Component</w:t>
        <w:br/>
        <w:t>1 Store</w:t>
        <w:br/>
        <w:t>1 Collector contract</w:t>
        <w:br/>
        <w:t>N Subcomponents</w:t>
        <w:br/>
        <w:t>N cards de presentación cuando el layout lo requiera</w:t>
      </w:r>
    </w:p>
    <w:p>
      <w:pPr>
        <w:pStyle w:val="Heading1"/>
      </w:pPr>
      <w:r>
        <w:t>4. Contrato de datos: Component cohesionado</w:t>
      </w:r>
    </w:p>
    <w:p>
      <w:r>
        <w:t>No se crearán Stores ni Collectors por cada fase. Un Component conserva un único contrato cohesionado que puede contener información para 10, 20 o más Subcomponents. La escala esperada de las herramientas actuales no justifica fragmentar el dominio.</w:t>
      </w:r>
    </w:p>
    <w:p>
      <w:pPr>
        <w:pStyle w:val="Decision"/>
      </w:pPr>
      <w:r>
        <w:rPr>
          <w:b/>
        </w:rPr>
        <w:t xml:space="preserve">DECISIÓN CONGELADA · </w:t>
      </w:r>
      <w:r>
        <w:t>N Subcomponents NO implican N Stores.</w:t>
      </w:r>
    </w:p>
    <w:p>
      <w:r>
        <w:t>Si en el futuro un Component creciera significativamente, la optimización debe realizarse dentro de la frontera del Component mediante paginación, windowing u orquestación de lectura, sin cambiar automáticamente la identidad funcional ni multiplicar destinos KPI.</w:t>
      </w:r>
    </w:p>
    <w:p>
      <w:pPr>
        <w:pStyle w:val="Heading2"/>
      </w:pPr>
      <w:r>
        <w:t>4.1 Ejemplo</w:t>
      </w:r>
    </w:p>
    <w:p>
      <w:pPr>
        <w:pStyle w:val="CodeBlock"/>
        <w:shd w:fill="F3F4F5"/>
      </w:pPr>
      <w:r>
        <w:t>Component: proceso_mina</w:t>
        <w:br/>
        <w:t>Store: proceso_mina</w:t>
        <w:br/>
        <w:t>Collector: proceso_mina</w:t>
        <w:br/>
        <w:br/>
        <w:t>Subcomponents / fases:</w:t>
        <w:br/>
        <w:t>- carguío</w:t>
        <w:br/>
        <w:t>- transporte</w:t>
        <w:br/>
        <w:t>- perforación</w:t>
        <w:br/>
        <w:t>- tronadura</w:t>
        <w:br/>
        <w:t>- chancado</w:t>
        <w:br/>
        <w:t>- ...</w:t>
        <w:br/>
        <w:br/>
        <w:t>Resultado:</w:t>
        <w:br/>
        <w:t>1 contrato cohesionado de datos</w:t>
        <w:br/>
        <w:t>N fases visuales</w:t>
      </w:r>
    </w:p>
    <w:p>
      <w:pPr>
        <w:pStyle w:val="Heading1"/>
      </w:pPr>
      <w:r>
        <w:t>5. Existencia visual y arranque con datos vacíos</w:t>
      </w:r>
    </w:p>
    <w:p>
      <w:pPr>
        <w:pStyle w:val="Decision"/>
      </w:pPr>
      <w:r>
        <w:rPr>
          <w:b/>
        </w:rPr>
        <w:t xml:space="preserve">DECISIÓN CONGELADA · </w:t>
      </w:r>
      <w:r>
        <w:t>Un Cosmos DB completamente vacío es un estado válido de arranque y no debe producir una UI incompleta.</w:t>
      </w:r>
    </w:p>
    <w:p>
      <w:r>
        <w:t>Si Tool Configuration declara el Component y KPI Configuration declara los KPIs que participan en él, el componente y sus KPIs deben renderizarse aun cuando no exista ninguna medición persistida.</w:t>
      </w:r>
    </w:p>
    <w:p>
      <w:pPr>
        <w:pStyle w:val="CodeBlock"/>
        <w:shd w:fill="F3F4F5"/>
      </w:pPr>
      <w:r>
        <w:t>Cosmos DB: 0 documentos</w:t>
        <w:br/>
        <w:br/>
        <w:t>Tool Configuration</w:t>
        <w:br/>
        <w:t>├── Component A</w:t>
        <w:br/>
        <w:t>└── Component B</w:t>
        <w:br/>
        <w:br/>
        <w:t>KPI Configuration</w:t>
        <w:br/>
        <w:t>├── KPI 1 → Component A</w:t>
        <w:br/>
        <w:t>├── KPI 2 → Component A</w:t>
        <w:br/>
        <w:t>└── KPI 3 → Component B</w:t>
        <w:br/>
        <w:br/>
        <w:t>Render esperado</w:t>
        <w:br/>
        <w:t>├── Component A</w:t>
        <w:br/>
        <w:t>│   ├── KPI 1 → EMPTY</w:t>
        <w:br/>
        <w:t>│   └── KPI 2 → EMPTY</w:t>
        <w:br/>
        <w:t>└── Component B</w:t>
        <w:br/>
        <w:t xml:space="preserve">    └── KPI 3 → EMPTY</w:t>
      </w:r>
    </w:p>
    <w:p>
      <w:pPr>
        <w:pStyle w:val="Heading2"/>
      </w:pPr>
      <w:r>
        <w:t>5.1 El render inicial no depende del primer dato</w:t>
      </w:r>
    </w:p>
    <w:p>
      <w:r>
        <w:t>La existencia del Component y de los contratos de presentación debe provenir de Configuration/Projection. El callback inicial no debe necesitar una transición de datos para gatillarse. De lo contrario, “sin dato” se convertiría erróneamente en “sin render”.</w:t>
      </w:r>
    </w:p>
    <w:p>
      <w:pPr>
        <w:pStyle w:val="CodeBlock"/>
        <w:shd w:fill="F3F4F5"/>
      </w:pPr>
      <w:r>
        <w:t>INCORRECTO</w:t>
        <w:br/>
        <w:t>sin dato → sin evento → sin callback → sin UI</w:t>
        <w:br/>
        <w:br/>
        <w:t>CORRECTO</w:t>
        <w:br/>
        <w:t>configuración/proyección → montaje inicial</w:t>
        <w:br/>
        <w:t>store vacío → evaluación inicial → EMPTY</w:t>
      </w:r>
    </w:p>
    <w:p>
      <w:pPr>
        <w:pStyle w:val="Heading1"/>
      </w:pPr>
      <w:r>
        <w:t>6. Semántica de estados: EMPTY vs NOT_MAPPED</w:t>
      </w:r>
    </w:p>
    <w:p>
      <w:pPr>
        <w:pStyle w:val="Decision"/>
      </w:pPr>
      <w:r>
        <w:rPr>
          <w:b/>
        </w:rPr>
        <w:t xml:space="preserve">DECISIÓN CONGELADA · </w:t>
      </w:r>
      <w:r>
        <w:t>Ausencia de dato no es NOT_MAPPED.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4A4C53"/>
            <w:tcMar>
              <w:top w:w="80" w:type="dxa"/>
              <w:start w:w="90" w:type="dxa"/>
              <w:bottom w:w="80" w:type="dxa"/>
              <w:end w:w="90" w:type="dxa"/>
            </w:tcMar>
            <w:vAlign w:val="center"/>
          </w:tcPr>
          <w:p>
            <w:pPr>
              <w:jc w:val="left"/>
            </w:pPr>
            <w:r>
              <w:rPr>
                <w:b/>
                <w:color w:val="FFFFFF"/>
                <w:sz w:val="17"/>
              </w:rPr>
              <w:t>Estado</w:t>
            </w:r>
          </w:p>
        </w:tc>
        <w:tc>
          <w:tcPr>
            <w:tcW w:type="dxa" w:w="5040"/>
            <w:shd w:fill="4A4C53"/>
            <w:tcMar>
              <w:top w:w="80" w:type="dxa"/>
              <w:start w:w="90" w:type="dxa"/>
              <w:bottom w:w="80" w:type="dxa"/>
              <w:end w:w="90" w:type="dxa"/>
            </w:tcMar>
            <w:vAlign w:val="center"/>
          </w:tcPr>
          <w:p>
            <w:pPr>
              <w:jc w:val="left"/>
            </w:pPr>
            <w:r>
              <w:rPr>
                <w:b/>
                <w:color w:val="FFFFFF"/>
                <w:sz w:val="17"/>
              </w:rPr>
              <w:t>Significado autoritativo</w:t>
            </w:r>
          </w:p>
        </w:tc>
        <w:tc>
          <w:tcPr>
            <w:tcW w:type="dxa" w:w="3888"/>
            <w:shd w:fill="4A4C53"/>
            <w:tcMar>
              <w:top w:w="80" w:type="dxa"/>
              <w:start w:w="90" w:type="dxa"/>
              <w:bottom w:w="80" w:type="dxa"/>
              <w:end w:w="90" w:type="dxa"/>
            </w:tcMar>
            <w:vAlign w:val="center"/>
          </w:tcPr>
          <w:p>
            <w:pPr>
              <w:jc w:val="left"/>
            </w:pPr>
            <w:r>
              <w:rPr>
                <w:b/>
                <w:color w:val="FFFFFF"/>
                <w:sz w:val="17"/>
              </w:rPr>
              <w:t>Ejemplo</w:t>
            </w:r>
          </w:p>
        </w:tc>
      </w:tr>
      <w:tr>
        <w:tc>
          <w:tcPr>
            <w:tcW w:type="dxa" w:w="1728"/>
            <w:tcMar>
              <w:top w:w="80" w:type="dxa"/>
              <w:start w:w="90" w:type="dxa"/>
              <w:bottom w:w="80" w:type="dxa"/>
              <w:end w:w="90" w:type="dxa"/>
            </w:tcMar>
            <w:shd w:fill="F7F7F8"/>
            <w:vAlign w:val="center"/>
          </w:tcPr>
          <w:p>
            <w:r>
              <w:rPr>
                <w:color w:val="36383E"/>
                <w:sz w:val="17"/>
              </w:rPr>
              <w:t>EMPTY</w:t>
            </w:r>
          </w:p>
        </w:tc>
        <w:tc>
          <w:tcPr>
            <w:tcW w:type="dxa" w:w="5040"/>
            <w:tcMar>
              <w:top w:w="80" w:type="dxa"/>
              <w:start w:w="90" w:type="dxa"/>
              <w:bottom w:w="80" w:type="dxa"/>
              <w:end w:w="90" w:type="dxa"/>
            </w:tcMar>
            <w:shd w:fill="F7F7F8"/>
            <w:vAlign w:val="center"/>
          </w:tcPr>
          <w:p>
            <w:r>
              <w:rPr>
                <w:color w:val="36383E"/>
                <w:sz w:val="17"/>
              </w:rPr>
              <w:t>El contrato existe y está correctamente configurado, pero no hay dato disponible.</w:t>
            </w:r>
          </w:p>
        </w:tc>
        <w:tc>
          <w:tcPr>
            <w:tcW w:type="dxa" w:w="3888"/>
            <w:tcMar>
              <w:top w:w="80" w:type="dxa"/>
              <w:start w:w="90" w:type="dxa"/>
              <w:bottom w:w="80" w:type="dxa"/>
              <w:end w:w="90" w:type="dxa"/>
            </w:tcMar>
            <w:shd w:fill="F7F7F8"/>
            <w:vAlign w:val="center"/>
          </w:tcPr>
          <w:p>
            <w:r>
              <w:rPr>
                <w:color w:val="36383E"/>
                <w:sz w:val="17"/>
              </w:rPr>
              <w:t>KPI configurado, Store montado, Cosmos sin medición.</w:t>
            </w:r>
          </w:p>
        </w:tc>
      </w:tr>
      <w:tr>
        <w:tc>
          <w:tcPr>
            <w:tcW w:type="dxa" w:w="1728"/>
            <w:tcMar>
              <w:top w:w="80" w:type="dxa"/>
              <w:start w:w="90" w:type="dxa"/>
              <w:bottom w:w="80" w:type="dxa"/>
              <w:end w:w="90" w:type="dxa"/>
            </w:tcMar>
            <w:vAlign w:val="center"/>
          </w:tcPr>
          <w:p>
            <w:r>
              <w:rPr>
                <w:color w:val="36383E"/>
                <w:sz w:val="17"/>
              </w:rPr>
              <w:t>NOT_MAPPED</w:t>
            </w:r>
          </w:p>
        </w:tc>
        <w:tc>
          <w:tcPr>
            <w:tcW w:type="dxa" w:w="5040"/>
            <w:tcMar>
              <w:top w:w="80" w:type="dxa"/>
              <w:start w:w="90" w:type="dxa"/>
              <w:bottom w:w="80" w:type="dxa"/>
              <w:end w:w="90" w:type="dxa"/>
            </w:tcMar>
            <w:vAlign w:val="center"/>
          </w:tcPr>
          <w:p>
            <w:r>
              <w:rPr>
                <w:color w:val="36383E"/>
                <w:sz w:val="17"/>
              </w:rPr>
              <w:t>Existe una expectativa de resolución, pero el contrato/configuración no permite mapearla.</w:t>
            </w:r>
          </w:p>
        </w:tc>
        <w:tc>
          <w:tcPr>
            <w:tcW w:type="dxa" w:w="3888"/>
            <w:tcMar>
              <w:top w:w="80" w:type="dxa"/>
              <w:start w:w="90" w:type="dxa"/>
              <w:bottom w:w="80" w:type="dxa"/>
              <w:end w:w="90" w:type="dxa"/>
            </w:tcMar>
            <w:vAlign w:val="center"/>
          </w:tcPr>
          <w:p>
            <w:r>
              <w:rPr>
                <w:color w:val="36383E"/>
                <w:sz w:val="17"/>
              </w:rPr>
              <w:t>Se solicita un KPI/destino que no puede resolverse en la proyección activa.</w:t>
            </w:r>
          </w:p>
        </w:tc>
      </w:tr>
      <w:tr>
        <w:tc>
          <w:tcPr>
            <w:tcW w:type="dxa" w:w="1728"/>
            <w:tcMar>
              <w:top w:w="80" w:type="dxa"/>
              <w:start w:w="90" w:type="dxa"/>
              <w:bottom w:w="80" w:type="dxa"/>
              <w:end w:w="90" w:type="dxa"/>
            </w:tcMar>
            <w:shd w:fill="F7F7F8"/>
            <w:vAlign w:val="center"/>
          </w:tcPr>
          <w:p>
            <w:r>
              <w:rPr>
                <w:color w:val="36383E"/>
                <w:sz w:val="17"/>
              </w:rPr>
              <w:t>No render</w:t>
            </w:r>
          </w:p>
        </w:tc>
        <w:tc>
          <w:tcPr>
            <w:tcW w:type="dxa" w:w="5040"/>
            <w:tcMar>
              <w:top w:w="80" w:type="dxa"/>
              <w:start w:w="90" w:type="dxa"/>
              <w:bottom w:w="80" w:type="dxa"/>
              <w:end w:w="90" w:type="dxa"/>
            </w:tcMar>
            <w:shd w:fill="F7F7F8"/>
            <w:vAlign w:val="center"/>
          </w:tcPr>
          <w:p>
            <w:r>
              <w:rPr>
                <w:color w:val="36383E"/>
                <w:sz w:val="17"/>
              </w:rPr>
              <w:t>El elemento no pertenece a la Tool configurada.</w:t>
            </w:r>
          </w:p>
        </w:tc>
        <w:tc>
          <w:tcPr>
            <w:tcW w:type="dxa" w:w="3888"/>
            <w:tcMar>
              <w:top w:w="80" w:type="dxa"/>
              <w:start w:w="90" w:type="dxa"/>
              <w:bottom w:w="80" w:type="dxa"/>
              <w:end w:w="90" w:type="dxa"/>
            </w:tcMar>
            <w:shd w:fill="F7F7F8"/>
            <w:vAlign w:val="center"/>
          </w:tcPr>
          <w:p>
            <w:r>
              <w:rPr>
                <w:color w:val="36383E"/>
                <w:sz w:val="17"/>
              </w:rPr>
              <w:t>Component inexistente en Tool Configuration.</w:t>
            </w:r>
          </w:p>
        </w:tc>
      </w:tr>
    </w:tbl>
    <w:p>
      <w:pPr>
        <w:spacing w:after="20"/>
      </w:pPr>
    </w:p>
    <w:p>
      <w:r>
        <w:t>Los SVG de fallback incorporados recientemente son candidatos naturales para representar EMPTY. La decisión visual exacta del SVG debe cerrarse en el incremento de renderer/UX; no debe alterar la semántica del estado.</w:t>
      </w:r>
    </w:p>
    <w:p>
      <w:pPr>
        <w:pStyle w:val="Heading1"/>
      </w:pPr>
      <w:r>
        <w:t>7. KPI Destination Catalog derivado de Tool</w:t>
      </w:r>
    </w:p>
    <w:p>
      <w:pPr>
        <w:pStyle w:val="Decision"/>
      </w:pPr>
      <w:r>
        <w:rPr>
          <w:b/>
        </w:rPr>
        <w:t xml:space="preserve">DECISIÓN CONGELADA · </w:t>
      </w:r>
      <w:r>
        <w:t>Sólo los Components, más los destinos de sistema, son destinos KPI.</w:t>
      </w:r>
    </w:p>
    <w:p>
      <w:r>
        <w:t>El contrato actual de ToolStructure.kpi_destination_keys es correcto y no debe ampliarse a Subcomponents.</w:t>
      </w:r>
    </w:p>
    <w:p>
      <w:pPr>
        <w:pStyle w:val="CodeBlock"/>
        <w:shd w:fill="F3F4F5"/>
      </w:pPr>
      <w:r>
        <w:t>KPI destinations =</w:t>
        <w:br/>
        <w:t xml:space="preserve">  global_indicators</w:t>
        <w:br/>
        <w:t xml:space="preserve">  time_status</w:t>
        <w:br/>
        <w:t xml:space="preserve">  + component keys</w:t>
      </w:r>
    </w:p>
    <w:p>
      <w:r>
        <w:t>Los Subcomponents describen fases internas y no deben aparecer como destinos KPI. Esto mantiene una única unidad funcional de datos por Component y evita inflar el número de Stores, Collectors y contratos de Delivery.</w:t>
      </w:r>
    </w:p>
    <w:p>
      <w:pPr>
        <w:pStyle w:val="Heading2"/>
      </w:pPr>
      <w:r>
        <w:t>7.1 Semántica del catálogo</w:t>
      </w:r>
    </w:p>
    <w:p>
      <w:r>
        <w:t>Un destino aparece en KPI Destination Catalog porque la Tool lo declara estructuralmente. Su presencia no depende de que ese destino tenga datos disponibles en Cosmos, de que el Collector ya haya producido valores, ni de que haya KPI Definitions completas.</w:t>
      </w:r>
    </w:p>
    <w:p>
      <w:pPr>
        <w:pStyle w:val="Heading1"/>
      </w:pPr>
      <w:r>
        <w:t>8. KPI Configuration</w:t>
      </w:r>
    </w:p>
    <w:p>
      <w:r>
        <w:t>KPI Configuration es la autoridad de existencia de KPI y de su participación en destinos de la Tool. Mantiene kpi_key como identidad administrativa única y proyecta el nombre key únicamente en la frontera de Delivery porque ese contrato backend ya está congelado.</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4A4C53"/>
            <w:tcMar>
              <w:top w:w="80" w:type="dxa"/>
              <w:start w:w="90" w:type="dxa"/>
              <w:bottom w:w="80" w:type="dxa"/>
              <w:end w:w="90" w:type="dxa"/>
            </w:tcMar>
            <w:vAlign w:val="center"/>
          </w:tcPr>
          <w:p>
            <w:pPr>
              <w:jc w:val="left"/>
            </w:pPr>
            <w:r>
              <w:rPr>
                <w:b/>
                <w:color w:val="FFFFFF"/>
                <w:sz w:val="17"/>
              </w:rPr>
              <w:t>Campo</w:t>
            </w:r>
          </w:p>
        </w:tc>
        <w:tc>
          <w:tcPr>
            <w:tcW w:type="dxa" w:w="7776"/>
            <w:shd w:fill="4A4C53"/>
            <w:tcMar>
              <w:top w:w="80" w:type="dxa"/>
              <w:start w:w="90" w:type="dxa"/>
              <w:bottom w:w="80" w:type="dxa"/>
              <w:end w:w="90" w:type="dxa"/>
            </w:tcMar>
            <w:vAlign w:val="center"/>
          </w:tcPr>
          <w:p>
            <w:pPr>
              <w:jc w:val="left"/>
            </w:pPr>
            <w:r>
              <w:rPr>
                <w:b/>
                <w:color w:val="FFFFFF"/>
                <w:sz w:val="17"/>
              </w:rPr>
              <w:t>Responsabilidad</w:t>
            </w:r>
          </w:p>
        </w:tc>
      </w:tr>
      <w:tr>
        <w:tc>
          <w:tcPr>
            <w:tcW w:type="dxa" w:w="2880"/>
            <w:tcMar>
              <w:top w:w="80" w:type="dxa"/>
              <w:start w:w="90" w:type="dxa"/>
              <w:bottom w:w="80" w:type="dxa"/>
              <w:end w:w="90" w:type="dxa"/>
            </w:tcMar>
            <w:shd w:fill="F7F7F8"/>
            <w:vAlign w:val="center"/>
          </w:tcPr>
          <w:p>
            <w:r>
              <w:rPr>
                <w:color w:val="36383E"/>
                <w:sz w:val="17"/>
              </w:rPr>
              <w:t>kpi_key</w:t>
            </w:r>
          </w:p>
        </w:tc>
        <w:tc>
          <w:tcPr>
            <w:tcW w:type="dxa" w:w="7776"/>
            <w:tcMar>
              <w:top w:w="80" w:type="dxa"/>
              <w:start w:w="90" w:type="dxa"/>
              <w:bottom w:w="80" w:type="dxa"/>
              <w:end w:w="90" w:type="dxa"/>
            </w:tcMar>
            <w:shd w:fill="F7F7F8"/>
            <w:vAlign w:val="center"/>
          </w:tcPr>
          <w:p>
            <w:r>
              <w:rPr>
                <w:color w:val="36383E"/>
                <w:sz w:val="17"/>
              </w:rPr>
              <w:t>Identidad única del KPI en configuración.</w:t>
            </w:r>
          </w:p>
        </w:tc>
      </w:tr>
      <w:tr>
        <w:tc>
          <w:tcPr>
            <w:tcW w:type="dxa" w:w="2880"/>
            <w:tcMar>
              <w:top w:w="80" w:type="dxa"/>
              <w:start w:w="90" w:type="dxa"/>
              <w:bottom w:w="80" w:type="dxa"/>
              <w:end w:w="90" w:type="dxa"/>
            </w:tcMar>
            <w:vAlign w:val="center"/>
          </w:tcPr>
          <w:p>
            <w:r>
              <w:rPr>
                <w:color w:val="36383E"/>
                <w:sz w:val="17"/>
              </w:rPr>
              <w:t>destination_keys</w:t>
            </w:r>
          </w:p>
        </w:tc>
        <w:tc>
          <w:tcPr>
            <w:tcW w:type="dxa" w:w="7776"/>
            <w:tcMar>
              <w:top w:w="80" w:type="dxa"/>
              <w:start w:w="90" w:type="dxa"/>
              <w:bottom w:w="80" w:type="dxa"/>
              <w:end w:w="90" w:type="dxa"/>
            </w:tcMar>
            <w:vAlign w:val="center"/>
          </w:tcPr>
          <w:p>
            <w:r>
              <w:rPr>
                <w:color w:val="36383E"/>
                <w:sz w:val="17"/>
              </w:rPr>
              <w:t>Components/destinos de sistema donde participa.</w:t>
            </w:r>
          </w:p>
        </w:tc>
      </w:tr>
      <w:tr>
        <w:tc>
          <w:tcPr>
            <w:tcW w:type="dxa" w:w="2880"/>
            <w:tcMar>
              <w:top w:w="80" w:type="dxa"/>
              <w:start w:w="90" w:type="dxa"/>
              <w:bottom w:w="80" w:type="dxa"/>
              <w:end w:w="90" w:type="dxa"/>
            </w:tcMar>
            <w:shd w:fill="F7F7F8"/>
            <w:vAlign w:val="center"/>
          </w:tcPr>
          <w:p>
            <w:r>
              <w:rPr>
                <w:color w:val="36383E"/>
                <w:sz w:val="17"/>
              </w:rPr>
              <w:t>latest_enabled</w:t>
            </w:r>
          </w:p>
        </w:tc>
        <w:tc>
          <w:tcPr>
            <w:tcW w:type="dxa" w:w="7776"/>
            <w:tcMar>
              <w:top w:w="80" w:type="dxa"/>
              <w:start w:w="90" w:type="dxa"/>
              <w:bottom w:w="80" w:type="dxa"/>
              <w:end w:w="90" w:type="dxa"/>
            </w:tcMar>
            <w:shd w:fill="F7F7F8"/>
            <w:vAlign w:val="center"/>
          </w:tcPr>
          <w:p>
            <w:r>
              <w:rPr>
                <w:color w:val="36383E"/>
                <w:sz w:val="17"/>
              </w:rPr>
              <w:t>Política administrativa para Latest.</w:t>
            </w:r>
          </w:p>
        </w:tc>
      </w:tr>
      <w:tr>
        <w:tc>
          <w:tcPr>
            <w:tcW w:type="dxa" w:w="2880"/>
            <w:tcMar>
              <w:top w:w="80" w:type="dxa"/>
              <w:start w:w="90" w:type="dxa"/>
              <w:bottom w:w="80" w:type="dxa"/>
              <w:end w:w="90" w:type="dxa"/>
            </w:tcMar>
            <w:vAlign w:val="center"/>
          </w:tcPr>
          <w:p>
            <w:r>
              <w:rPr>
                <w:color w:val="36383E"/>
                <w:sz w:val="17"/>
              </w:rPr>
              <w:t>series_enabled</w:t>
            </w:r>
          </w:p>
        </w:tc>
        <w:tc>
          <w:tcPr>
            <w:tcW w:type="dxa" w:w="7776"/>
            <w:tcMar>
              <w:top w:w="80" w:type="dxa"/>
              <w:start w:w="90" w:type="dxa"/>
              <w:bottom w:w="80" w:type="dxa"/>
              <w:end w:w="90" w:type="dxa"/>
            </w:tcMar>
            <w:vAlign w:val="center"/>
          </w:tcPr>
          <w:p>
            <w:r>
              <w:rPr>
                <w:color w:val="36383E"/>
                <w:sz w:val="17"/>
              </w:rPr>
              <w:t>Política administrativa para Series.</w:t>
            </w:r>
          </w:p>
        </w:tc>
      </w:tr>
      <w:tr>
        <w:tc>
          <w:tcPr>
            <w:tcW w:type="dxa" w:w="2880"/>
            <w:tcMar>
              <w:top w:w="80" w:type="dxa"/>
              <w:start w:w="90" w:type="dxa"/>
              <w:bottom w:w="80" w:type="dxa"/>
              <w:end w:w="90" w:type="dxa"/>
            </w:tcMar>
            <w:shd w:fill="F7F7F8"/>
            <w:vAlign w:val="center"/>
          </w:tcPr>
          <w:p>
            <w:r>
              <w:rPr>
                <w:color w:val="36383E"/>
                <w:sz w:val="17"/>
              </w:rPr>
              <w:t>series_hours</w:t>
            </w:r>
          </w:p>
        </w:tc>
        <w:tc>
          <w:tcPr>
            <w:tcW w:type="dxa" w:w="7776"/>
            <w:tcMar>
              <w:top w:w="80" w:type="dxa"/>
              <w:start w:w="90" w:type="dxa"/>
              <w:bottom w:w="80" w:type="dxa"/>
              <w:end w:w="90" w:type="dxa"/>
            </w:tcMar>
            <w:shd w:fill="F7F7F8"/>
            <w:vAlign w:val="center"/>
          </w:tcPr>
          <w:p>
            <w:r>
              <w:rPr>
                <w:color w:val="36383E"/>
                <w:sz w:val="17"/>
              </w:rPr>
              <w:t>Ventana Series; None si Series está deshabilitado, 1..24 si está activo.</w:t>
            </w:r>
          </w:p>
        </w:tc>
      </w:tr>
    </w:tbl>
    <w:p>
      <w:pPr>
        <w:spacing w:after="20"/>
      </w:pPr>
    </w:p>
    <w:p>
      <w:pPr>
        <w:pStyle w:val="Decision"/>
      </w:pPr>
      <w:r>
        <w:rPr>
          <w:b/>
        </w:rPr>
        <w:t xml:space="preserve">DECISIÓN CONGELADA · </w:t>
      </w:r>
      <w:r>
        <w:t>KPI Configuration decide la política; KPI Delivery la ejecuta.</w:t>
      </w:r>
    </w:p>
    <w:p>
      <w:pPr>
        <w:pStyle w:val="Heading1"/>
      </w:pPr>
      <w:r>
        <w:t>9. KPI Definition y autoridad de existencia</w:t>
      </w:r>
    </w:p>
    <w:p>
      <w:r>
        <w:t>KPI Definition no puede inventar identidades. Consume un catálogo autoritativo derivado de KPI Configuration y mantiene Source/history propios.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6768"/>
            <w:shd w:fill="4A4C53"/>
            <w:tcMar>
              <w:top w:w="80" w:type="dxa"/>
              <w:start w:w="90" w:type="dxa"/>
              <w:bottom w:w="80" w:type="dxa"/>
              <w:end w:w="90" w:type="dxa"/>
            </w:tcMar>
            <w:vAlign w:val="center"/>
          </w:tcPr>
          <w:p>
            <w:pPr>
              <w:jc w:val="left"/>
            </w:pPr>
            <w:r>
              <w:rPr>
                <w:b/>
                <w:color w:val="FFFFFF"/>
                <w:sz w:val="17"/>
              </w:rPr>
              <w:t>Situación</w:t>
            </w:r>
          </w:p>
        </w:tc>
        <w:tc>
          <w:tcPr>
            <w:tcW w:type="dxa" w:w="3888"/>
            <w:shd w:fill="4A4C53"/>
            <w:tcMar>
              <w:top w:w="80" w:type="dxa"/>
              <w:start w:w="90" w:type="dxa"/>
              <w:bottom w:w="80" w:type="dxa"/>
              <w:end w:w="90" w:type="dxa"/>
            </w:tcMar>
            <w:vAlign w:val="center"/>
          </w:tcPr>
          <w:p>
            <w:pPr>
              <w:jc w:val="left"/>
            </w:pPr>
            <w:r>
              <w:rPr>
                <w:b/>
                <w:color w:val="FFFFFF"/>
                <w:sz w:val="17"/>
              </w:rPr>
              <w:t>Estado</w:t>
            </w:r>
          </w:p>
        </w:tc>
      </w:tr>
      <w:tr>
        <w:tc>
          <w:tcPr>
            <w:tcW w:type="dxa" w:w="6768"/>
            <w:tcMar>
              <w:top w:w="80" w:type="dxa"/>
              <w:start w:w="90" w:type="dxa"/>
              <w:bottom w:w="80" w:type="dxa"/>
              <w:end w:w="90" w:type="dxa"/>
            </w:tcMar>
            <w:shd w:fill="F7F7F8"/>
            <w:vAlign w:val="center"/>
          </w:tcPr>
          <w:p>
            <w:r>
              <w:rPr>
                <w:color w:val="36383E"/>
                <w:sz w:val="17"/>
              </w:rPr>
              <w:t>KPI configurado + Definition con contenido</w:t>
            </w:r>
          </w:p>
        </w:tc>
        <w:tc>
          <w:tcPr>
            <w:tcW w:type="dxa" w:w="3888"/>
            <w:tcMar>
              <w:top w:w="80" w:type="dxa"/>
              <w:start w:w="90" w:type="dxa"/>
              <w:bottom w:w="80" w:type="dxa"/>
              <w:end w:w="90" w:type="dxa"/>
            </w:tcMar>
            <w:shd w:fill="F7F7F8"/>
            <w:vAlign w:val="center"/>
          </w:tcPr>
          <w:p>
            <w:r>
              <w:rPr>
                <w:color w:val="36383E"/>
                <w:sz w:val="17"/>
              </w:rPr>
              <w:t>DEFINED</w:t>
            </w:r>
          </w:p>
        </w:tc>
      </w:tr>
      <w:tr>
        <w:tc>
          <w:tcPr>
            <w:tcW w:type="dxa" w:w="6768"/>
            <w:tcMar>
              <w:top w:w="80" w:type="dxa"/>
              <w:start w:w="90" w:type="dxa"/>
              <w:bottom w:w="80" w:type="dxa"/>
              <w:end w:w="90" w:type="dxa"/>
            </w:tcMar>
            <w:vAlign w:val="center"/>
          </w:tcPr>
          <w:p>
            <w:r>
              <w:rPr>
                <w:color w:val="36383E"/>
                <w:sz w:val="17"/>
              </w:rPr>
              <w:t>KPI configurado + Definition(fields={})</w:t>
            </w:r>
          </w:p>
        </w:tc>
        <w:tc>
          <w:tcPr>
            <w:tcW w:type="dxa" w:w="3888"/>
            <w:tcMar>
              <w:top w:w="80" w:type="dxa"/>
              <w:start w:w="90" w:type="dxa"/>
              <w:bottom w:w="80" w:type="dxa"/>
              <w:end w:w="90" w:type="dxa"/>
            </w:tcMar>
            <w:vAlign w:val="center"/>
          </w:tcPr>
          <w:p>
            <w:r>
              <w:rPr>
                <w:color w:val="36383E"/>
                <w:sz w:val="17"/>
              </w:rPr>
              <w:t>DEFINED</w:t>
            </w:r>
          </w:p>
        </w:tc>
      </w:tr>
      <w:tr>
        <w:tc>
          <w:tcPr>
            <w:tcW w:type="dxa" w:w="6768"/>
            <w:tcMar>
              <w:top w:w="80" w:type="dxa"/>
              <w:start w:w="90" w:type="dxa"/>
              <w:bottom w:w="80" w:type="dxa"/>
              <w:end w:w="90" w:type="dxa"/>
            </w:tcMar>
            <w:shd w:fill="F7F7F8"/>
            <w:vAlign w:val="center"/>
          </w:tcPr>
          <w:p>
            <w:r>
              <w:rPr>
                <w:color w:val="36383E"/>
                <w:sz w:val="17"/>
              </w:rPr>
              <w:t>KPI configurado + no existe Definition persistida</w:t>
            </w:r>
          </w:p>
        </w:tc>
        <w:tc>
          <w:tcPr>
            <w:tcW w:type="dxa" w:w="3888"/>
            <w:tcMar>
              <w:top w:w="80" w:type="dxa"/>
              <w:start w:w="90" w:type="dxa"/>
              <w:bottom w:w="80" w:type="dxa"/>
              <w:end w:w="90" w:type="dxa"/>
            </w:tcMar>
            <w:shd w:fill="F7F7F8"/>
            <w:vAlign w:val="center"/>
          </w:tcPr>
          <w:p>
            <w:r>
              <w:rPr>
                <w:color w:val="36383E"/>
                <w:sz w:val="17"/>
              </w:rPr>
              <w:t>MISSING (warning, no bloquea)</w:t>
            </w:r>
          </w:p>
        </w:tc>
      </w:tr>
      <w:tr>
        <w:tc>
          <w:tcPr>
            <w:tcW w:type="dxa" w:w="6768"/>
            <w:tcMar>
              <w:top w:w="80" w:type="dxa"/>
              <w:start w:w="90" w:type="dxa"/>
              <w:bottom w:w="80" w:type="dxa"/>
              <w:end w:w="90" w:type="dxa"/>
            </w:tcMar>
            <w:vAlign w:val="center"/>
          </w:tcPr>
          <w:p>
            <w:r>
              <w:rPr>
                <w:color w:val="36383E"/>
                <w:sz w:val="17"/>
              </w:rPr>
              <w:t>Definition para KPI no configurado</w:t>
            </w:r>
          </w:p>
        </w:tc>
        <w:tc>
          <w:tcPr>
            <w:tcW w:type="dxa" w:w="3888"/>
            <w:tcMar>
              <w:top w:w="80" w:type="dxa"/>
              <w:start w:w="90" w:type="dxa"/>
              <w:bottom w:w="80" w:type="dxa"/>
              <w:end w:w="90" w:type="dxa"/>
            </w:tcMar>
            <w:vAlign w:val="center"/>
          </w:tcPr>
          <w:p>
            <w:r>
              <w:rPr>
                <w:color w:val="36383E"/>
                <w:sz w:val="17"/>
              </w:rPr>
              <w:t>ORPHAN (error, bloquea Publish/Project)</w:t>
            </w:r>
          </w:p>
        </w:tc>
      </w:tr>
      <w:tr>
        <w:tc>
          <w:tcPr>
            <w:tcW w:type="dxa" w:w="6768"/>
            <w:tcMar>
              <w:top w:w="80" w:type="dxa"/>
              <w:start w:w="90" w:type="dxa"/>
              <w:bottom w:w="80" w:type="dxa"/>
              <w:end w:w="90" w:type="dxa"/>
            </w:tcMar>
            <w:shd w:fill="F7F7F8"/>
            <w:vAlign w:val="center"/>
          </w:tcPr>
          <w:p>
            <w:r>
              <w:rPr>
                <w:color w:val="36383E"/>
                <w:sz w:val="17"/>
              </w:rPr>
              <w:t>Autoridad KPI Configuration ausente</w:t>
            </w:r>
          </w:p>
        </w:tc>
        <w:tc>
          <w:tcPr>
            <w:tcW w:type="dxa" w:w="3888"/>
            <w:tcMar>
              <w:top w:w="80" w:type="dxa"/>
              <w:start w:w="90" w:type="dxa"/>
              <w:bottom w:w="80" w:type="dxa"/>
              <w:end w:w="90" w:type="dxa"/>
            </w:tcMar>
            <w:shd w:fill="F7F7F8"/>
            <w:vAlign w:val="center"/>
          </w:tcPr>
          <w:p>
            <w:r>
              <w:rPr>
                <w:color w:val="36383E"/>
                <w:sz w:val="17"/>
              </w:rPr>
              <w:t>Error de autoridad</w:t>
            </w:r>
          </w:p>
        </w:tc>
      </w:tr>
    </w:tbl>
    <w:p>
      <w:pPr>
        <w:spacing w:after="20"/>
      </w:pPr>
    </w:p>
    <w:p>
      <w:r>
        <w:t>El Source de Definition permanece sparse: no se persisten placeholders para los MISSING. La Projection materializa virtualmente la cobertura completa DEFINED/MISSING.</w:t>
      </w:r>
    </w:p>
    <w:p>
      <w:pPr>
        <w:pStyle w:val="Heading1"/>
      </w:pPr>
      <w:r>
        <w:t>10. Alarmas: granularidad visual separada de la granularidad de datos</w:t>
      </w:r>
    </w:p>
    <w:p>
      <w:pPr>
        <w:pStyle w:val="Decision"/>
      </w:pPr>
      <w:r>
        <w:rPr>
          <w:b/>
        </w:rPr>
        <w:t xml:space="preserve">DECISIÓN CONGELADA · </w:t>
      </w:r>
      <w:r>
        <w:t>Data granularity ≠ Visual alarm granularity.</w:t>
      </w:r>
    </w:p>
    <w:p>
      <w:r>
        <w:t>Las alarmas pueden colorear Subcomponents individualmente aunque todos consuman el mismo Store del Component. La estructura canónica ya mantiene direcciones (owner_component_key, subcomponent_key) para resolver esa identidad visual.</w:t>
      </w:r>
    </w:p>
    <w:p>
      <w:pPr>
        <w:pStyle w:val="CodeBlock"/>
        <w:shd w:fill="F3F4F5"/>
      </w:pPr>
      <w:r>
        <w:t>Component CENTER</w:t>
        <w:br/>
        <w:t>Store CENTER</w:t>
        <w:br/>
        <w:t>│</w:t>
        <w:br/>
        <w:t>├── Fase A → alarma NORMAL</w:t>
        <w:br/>
        <w:t>├── Fase B → alarma WARNING</w:t>
        <w:br/>
        <w:t>├── Fase C → alarma CRITICAL</w:t>
        <w:br/>
        <w:t>└── Fase D → alarma NORMAL</w:t>
      </w:r>
    </w:p>
    <w:p>
      <w:r>
        <w:t>La ausencia de un valor KPI no impide colorear una fase por alarma. El estado de dato y el estado de alarma son dimensiones diferentes que pueden coexistir.</w:t>
      </w:r>
    </w:p>
    <w:p>
      <w:pPr>
        <w:pStyle w:val="CodeBlock"/>
        <w:shd w:fill="F3F4F5"/>
      </w:pPr>
      <w:r>
        <w:t>Fase B</w:t>
        <w:br/>
        <w:t>├── data status = EMPTY</w:t>
        <w:br/>
        <w:t>└── alarm state = CRITICAL</w:t>
        <w:br/>
        <w:br/>
        <w:t>Resultado visual:</w:t>
        <w:br/>
        <w:t>card existente + fallback de dato + color de alarma</w:t>
      </w:r>
    </w:p>
    <w:p>
      <w:pPr>
        <w:pStyle w:val="Heading1"/>
      </w:pPr>
      <w:r>
        <w:t>11. PROCESS: semántica especial de CENTER</w:t>
      </w:r>
    </w:p>
    <w:p>
      <w:r>
        <w:t>Para Tool kind PROCESS existe un único Component con layout_role=CENTER. Esto define una zona funcional, no obliga a renderizar un único card grande.</w:t>
      </w:r>
    </w:p>
    <w:p>
      <w:pPr>
        <w:pStyle w:val="Decision"/>
      </w:pPr>
      <w:r>
        <w:rPr>
          <w:b/>
        </w:rPr>
        <w:t xml:space="preserve">DECISIÓN CONGELADA · </w:t>
      </w:r>
      <w:r>
        <w:t>CENTER puede renderizar 1..N cards hermanos derivados de los Subcomponents del Component CENTER.</w:t>
      </w:r>
    </w:p>
    <w:p>
      <w:pPr>
        <w:pStyle w:val="CodeBlock"/>
        <w:shd w:fill="F3F4F5"/>
      </w:pPr>
      <w:r>
        <w:t>PROCESS</w:t>
        <w:br/>
        <w:br/>
        <w:t>Component CENTER (1 Store)</w:t>
        <w:br/>
        <w:t>├── Subcomponent A → Card A</w:t>
        <w:br/>
        <w:t>├── Subcomponent B → Card B</w:t>
        <w:br/>
        <w:t>├── Subcomponent C → Card C</w:t>
        <w:br/>
        <w:t>└── Subcomponent D → Card D</w:t>
        <w:br/>
        <w:br/>
        <w:t>Cards A..D son hermanos visuales dentro de la zona CENTER.</w:t>
        <w:br/>
        <w:t>No son cuatro Stores ni cuatro Components.</w:t>
      </w:r>
    </w:p>
    <w:p>
      <w:r>
        <w:t>Este caso debe conservarse especialmente para Process Mina, donde CENTER puede requerir varios cards separados y todos deben responder al coloreado de alarmas.</w:t>
      </w:r>
    </w:p>
    <w:p>
      <w:pPr>
        <w:pStyle w:val="Heading1"/>
      </w:pPr>
      <w:r>
        <w:t>12. Integrated Operations y Subcomponents vinculados</w:t>
      </w:r>
    </w:p>
    <w:p>
      <w:r>
        <w:t>En Integrated Operations un Subcomponent puede ser visible también desde otro Component mediante linked_component_keys. El vínculo extiende visibilidad/presentación, pero no duplica identidad ni datos.</w:t>
      </w:r>
    </w:p>
    <w:p>
      <w:pPr>
        <w:pStyle w:val="Decision"/>
      </w:pPr>
      <w:r>
        <w:rPr>
          <w:b/>
        </w:rPr>
        <w:t xml:space="preserve">DECISIÓN CONGELADA · </w:t>
      </w:r>
      <w:r>
        <w:t>linked_component_keys no crea otro Store, otro Collector ni otro destino KPI.</w:t>
      </w:r>
    </w:p>
    <w:p>
      <w:pPr>
        <w:pStyle w:val="CodeBlock"/>
        <w:shd w:fill="F3F4F5"/>
      </w:pPr>
      <w:r>
        <w:t>Owner Component: carguio</w:t>
        <w:br/>
        <w:t>└── Subcomponent: carguio_transporte</w:t>
        <w:br/>
        <w:t xml:space="preserve">    linked_component_keys = [transporte]</w:t>
        <w:br/>
        <w:br/>
        <w:t>Component: transporte</w:t>
        <w:br/>
        <w:br/>
        <w:t>La fase puede mostrarse donde corresponda en ambos componentes,</w:t>
        <w:br/>
        <w:t>pero su dirección canónica sigue siendo:</w:t>
        <w:br/>
        <w:t>(owner_component_key=carguio, subcomponent_key=carguio_transporte)</w:t>
      </w:r>
    </w:p>
    <w:p>
      <w:r>
        <w:t>Este patrón conserva el caso especial Carguío/Transporte y cualquier futura necesidad equivalente sin introducir duplicación de estado.</w:t>
      </w:r>
    </w:p>
    <w:p>
      <w:pPr>
        <w:pStyle w:val="Heading1"/>
      </w:pPr>
      <w:r>
        <w:t>13. Reglas de identidad y nombres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4A4C53"/>
            <w:tcMar>
              <w:top w:w="80" w:type="dxa"/>
              <w:start w:w="90" w:type="dxa"/>
              <w:bottom w:w="80" w:type="dxa"/>
              <w:end w:w="90" w:type="dxa"/>
            </w:tcMar>
            <w:vAlign w:val="center"/>
          </w:tcPr>
          <w:p>
            <w:pPr>
              <w:jc w:val="left"/>
            </w:pPr>
            <w:r>
              <w:rPr>
                <w:b/>
                <w:color w:val="FFFFFF"/>
                <w:sz w:val="17"/>
              </w:rPr>
              <w:t>Identificador</w:t>
            </w:r>
          </w:p>
        </w:tc>
        <w:tc>
          <w:tcPr>
            <w:tcW w:type="dxa" w:w="7632"/>
            <w:shd w:fill="4A4C53"/>
            <w:tcMar>
              <w:top w:w="80" w:type="dxa"/>
              <w:start w:w="90" w:type="dxa"/>
              <w:bottom w:w="80" w:type="dxa"/>
              <w:end w:w="90" w:type="dxa"/>
            </w:tcMar>
            <w:vAlign w:val="center"/>
          </w:tcPr>
          <w:p>
            <w:pPr>
              <w:jc w:val="left"/>
            </w:pPr>
            <w:r>
              <w:rPr>
                <w:b/>
                <w:color w:val="FFFFFF"/>
                <w:sz w:val="17"/>
              </w:rPr>
              <w:t>Uso</w:t>
            </w:r>
          </w:p>
        </w:tc>
      </w:tr>
      <w:tr>
        <w:tc>
          <w:tcPr>
            <w:tcW w:type="dxa" w:w="3024"/>
            <w:tcMar>
              <w:top w:w="80" w:type="dxa"/>
              <w:start w:w="90" w:type="dxa"/>
              <w:bottom w:w="80" w:type="dxa"/>
              <w:end w:w="90" w:type="dxa"/>
            </w:tcMar>
            <w:shd w:fill="F7F7F8"/>
            <w:vAlign w:val="center"/>
          </w:tcPr>
          <w:p>
            <w:r>
              <w:rPr>
                <w:color w:val="36383E"/>
                <w:sz w:val="17"/>
              </w:rPr>
              <w:t>tool_key</w:t>
            </w:r>
          </w:p>
        </w:tc>
        <w:tc>
          <w:tcPr>
            <w:tcW w:type="dxa" w:w="7632"/>
            <w:tcMar>
              <w:top w:w="80" w:type="dxa"/>
              <w:start w:w="90" w:type="dxa"/>
              <w:bottom w:w="80" w:type="dxa"/>
              <w:end w:w="90" w:type="dxa"/>
            </w:tcMar>
            <w:shd w:fill="F7F7F8"/>
            <w:vAlign w:val="center"/>
          </w:tcPr>
          <w:p>
            <w:r>
              <w:rPr>
                <w:color w:val="36383E"/>
                <w:sz w:val="17"/>
              </w:rPr>
              <w:t>Identidad estable de la herramienta.</w:t>
            </w:r>
          </w:p>
        </w:tc>
      </w:tr>
      <w:tr>
        <w:tc>
          <w:tcPr>
            <w:tcW w:type="dxa" w:w="3024"/>
            <w:tcMar>
              <w:top w:w="80" w:type="dxa"/>
              <w:start w:w="90" w:type="dxa"/>
              <w:bottom w:w="80" w:type="dxa"/>
              <w:end w:w="90" w:type="dxa"/>
            </w:tcMar>
            <w:vAlign w:val="center"/>
          </w:tcPr>
          <w:p>
            <w:r>
              <w:rPr>
                <w:color w:val="36383E"/>
                <w:sz w:val="17"/>
              </w:rPr>
              <w:t>component.key</w:t>
            </w:r>
          </w:p>
        </w:tc>
        <w:tc>
          <w:tcPr>
            <w:tcW w:type="dxa" w:w="7632"/>
            <w:tcMar>
              <w:top w:w="80" w:type="dxa"/>
              <w:start w:w="90" w:type="dxa"/>
              <w:bottom w:w="80" w:type="dxa"/>
              <w:end w:w="90" w:type="dxa"/>
            </w:tcMar>
            <w:vAlign w:val="center"/>
          </w:tcPr>
          <w:p>
            <w:r>
              <w:rPr>
                <w:color w:val="36383E"/>
                <w:sz w:val="17"/>
              </w:rPr>
              <w:t>Identidad funcional; Store/Collector, destino KPI, baseline de alarma.</w:t>
            </w:r>
          </w:p>
        </w:tc>
      </w:tr>
      <w:tr>
        <w:tc>
          <w:tcPr>
            <w:tcW w:type="dxa" w:w="3024"/>
            <w:tcMar>
              <w:top w:w="80" w:type="dxa"/>
              <w:start w:w="90" w:type="dxa"/>
              <w:bottom w:w="80" w:type="dxa"/>
              <w:end w:w="90" w:type="dxa"/>
            </w:tcMar>
            <w:shd w:fill="F7F7F8"/>
            <w:vAlign w:val="center"/>
          </w:tcPr>
          <w:p>
            <w:r>
              <w:rPr>
                <w:color w:val="36383E"/>
                <w:sz w:val="17"/>
              </w:rPr>
              <w:t>subcomponent.key</w:t>
            </w:r>
          </w:p>
        </w:tc>
        <w:tc>
          <w:tcPr>
            <w:tcW w:type="dxa" w:w="7632"/>
            <w:tcMar>
              <w:top w:w="80" w:type="dxa"/>
              <w:start w:w="90" w:type="dxa"/>
              <w:bottom w:w="80" w:type="dxa"/>
              <w:end w:w="90" w:type="dxa"/>
            </w:tcMar>
            <w:shd w:fill="F7F7F8"/>
            <w:vAlign w:val="center"/>
          </w:tcPr>
          <w:p>
            <w:r>
              <w:rPr>
                <w:color w:val="36383E"/>
                <w:sz w:val="17"/>
              </w:rPr>
              <w:t>Identidad estable de fase; routing visual y target de alarmas.</w:t>
            </w:r>
          </w:p>
        </w:tc>
      </w:tr>
      <w:tr>
        <w:tc>
          <w:tcPr>
            <w:tcW w:type="dxa" w:w="3024"/>
            <w:tcMar>
              <w:top w:w="80" w:type="dxa"/>
              <w:start w:w="90" w:type="dxa"/>
              <w:bottom w:w="80" w:type="dxa"/>
              <w:end w:w="90" w:type="dxa"/>
            </w:tcMar>
            <w:vAlign w:val="center"/>
          </w:tcPr>
          <w:p>
            <w:r>
              <w:rPr>
                <w:color w:val="36383E"/>
                <w:sz w:val="17"/>
              </w:rPr>
              <w:t>display_name</w:t>
            </w:r>
          </w:p>
        </w:tc>
        <w:tc>
          <w:tcPr>
            <w:tcW w:type="dxa" w:w="7632"/>
            <w:tcMar>
              <w:top w:w="80" w:type="dxa"/>
              <w:start w:w="90" w:type="dxa"/>
              <w:bottom w:w="80" w:type="dxa"/>
              <w:end w:w="90" w:type="dxa"/>
            </w:tcMar>
            <w:vAlign w:val="center"/>
          </w:tcPr>
          <w:p>
            <w:r>
              <w:rPr>
                <w:color w:val="36383E"/>
                <w:sz w:val="17"/>
              </w:rPr>
              <w:t>Presentación humana únicamente; no debe usarse para routing.</w:t>
            </w:r>
          </w:p>
        </w:tc>
      </w:tr>
      <w:tr>
        <w:tc>
          <w:tcPr>
            <w:tcW w:type="dxa" w:w="3024"/>
            <w:tcMar>
              <w:top w:w="80" w:type="dxa"/>
              <w:start w:w="90" w:type="dxa"/>
              <w:bottom w:w="80" w:type="dxa"/>
              <w:end w:w="90" w:type="dxa"/>
            </w:tcMar>
            <w:shd w:fill="F7F7F8"/>
            <w:vAlign w:val="center"/>
          </w:tcPr>
          <w:p>
            <w:r>
              <w:rPr>
                <w:color w:val="36383E"/>
                <w:sz w:val="17"/>
              </w:rPr>
              <w:t>linked_component_keys</w:t>
            </w:r>
          </w:p>
        </w:tc>
        <w:tc>
          <w:tcPr>
            <w:tcW w:type="dxa" w:w="7632"/>
            <w:tcMar>
              <w:top w:w="80" w:type="dxa"/>
              <w:start w:w="90" w:type="dxa"/>
              <w:bottom w:w="80" w:type="dxa"/>
              <w:end w:w="90" w:type="dxa"/>
            </w:tcMar>
            <w:shd w:fill="F7F7F8"/>
            <w:vAlign w:val="center"/>
          </w:tcPr>
          <w:p>
            <w:r>
              <w:rPr>
                <w:color w:val="36383E"/>
                <w:sz w:val="17"/>
              </w:rPr>
              <w:t>Visibilidad compartida de una fase en Integrated Operations.</w:t>
            </w:r>
          </w:p>
        </w:tc>
      </w:tr>
      <w:tr>
        <w:tc>
          <w:tcPr>
            <w:tcW w:type="dxa" w:w="3024"/>
            <w:tcMar>
              <w:top w:w="80" w:type="dxa"/>
              <w:start w:w="90" w:type="dxa"/>
              <w:bottom w:w="80" w:type="dxa"/>
              <w:end w:w="90" w:type="dxa"/>
            </w:tcMar>
            <w:vAlign w:val="center"/>
          </w:tcPr>
          <w:p>
            <w:r>
              <w:rPr>
                <w:color w:val="36383E"/>
                <w:sz w:val="17"/>
              </w:rPr>
              <w:t>layout_role</w:t>
            </w:r>
          </w:p>
        </w:tc>
        <w:tc>
          <w:tcPr>
            <w:tcW w:type="dxa" w:w="7632"/>
            <w:tcMar>
              <w:top w:w="80" w:type="dxa"/>
              <w:start w:w="90" w:type="dxa"/>
              <w:bottom w:w="80" w:type="dxa"/>
              <w:end w:w="90" w:type="dxa"/>
            </w:tcMar>
            <w:vAlign w:val="center"/>
          </w:tcPr>
          <w:p>
            <w:r>
              <w:rPr>
                <w:color w:val="36383E"/>
                <w:sz w:val="17"/>
              </w:rPr>
              <w:t>Posición funcional en PROCESS; CENTER/LEFT/RIGHT/BOTTOM.</w:t>
            </w:r>
          </w:p>
        </w:tc>
      </w:tr>
    </w:tbl>
    <w:p>
      <w:pPr>
        <w:spacing w:after="20"/>
      </w:pPr>
    </w:p>
    <w:p>
      <w:pPr>
        <w:pStyle w:val="Decision"/>
      </w:pPr>
      <w:r>
        <w:rPr>
          <w:b/>
        </w:rPr>
        <w:t xml:space="preserve">DECISIÓN CONGELADA · </w:t>
      </w:r>
      <w:r>
        <w:t>Routing y contratos deben usar keys estables; display_name es sólo presentación.</w:t>
      </w:r>
    </w:p>
    <w:p>
      <w:pPr>
        <w:pStyle w:val="Heading1"/>
      </w:pPr>
      <w:r>
        <w:t>14. Implicancias para callbacks, Stores y renderers</w:t>
      </w:r>
    </w:p>
    <w:p>
      <w:pPr>
        <w:pStyle w:val="ListNumber"/>
        <w:spacing w:after="50"/>
      </w:pPr>
      <w:r>
        <w:t>La Projection/Configuration debe montar la estructura inicial independientemente del contenido de datos.</w:t>
      </w:r>
    </w:p>
    <w:p>
      <w:pPr>
        <w:pStyle w:val="ListNumber"/>
        <w:spacing w:after="50"/>
      </w:pPr>
      <w:r>
        <w:t>Debe existir un Store por Component funcional cuando corresponda, no por Subcomponent.</w:t>
      </w:r>
    </w:p>
    <w:p>
      <w:pPr>
        <w:pStyle w:val="ListNumber"/>
        <w:spacing w:after="50"/>
      </w:pPr>
      <w:r>
        <w:t>El Collector llena/actualiza el contrato del Component; no determina que el Component exista.</w:t>
      </w:r>
    </w:p>
    <w:p>
      <w:pPr>
        <w:pStyle w:val="ListNumber"/>
        <w:spacing w:after="50"/>
      </w:pPr>
      <w:r>
        <w:t>Cada Subcomponent puede derivar su vista desde el Store del padre y recibir estado visual de alarma independiente.</w:t>
      </w:r>
    </w:p>
    <w:p>
      <w:pPr>
        <w:pStyle w:val="ListNumber"/>
        <w:spacing w:after="50"/>
      </w:pPr>
      <w:r>
        <w:t>EMPTY debe renderizar un fallback explícito; NOT_MAPPED queda reservado para problemas de resolución contractual.</w:t>
      </w:r>
    </w:p>
    <w:p>
      <w:pPr>
        <w:pStyle w:val="ListNumber"/>
        <w:spacing w:after="50"/>
      </w:pPr>
      <w:r>
        <w:t>Los callbacks deben poder evaluar el estado inicial vacío sin esperar la primera mutación del Store.</w:t>
      </w:r>
    </w:p>
    <w:p>
      <w:pPr>
        <w:pStyle w:val="Heading1"/>
      </w:pPr>
      <w:r>
        <w:t>15. Lo que explícitamente NO se hará</w:t>
      </w:r>
    </w:p>
    <w:p>
      <w:pPr>
        <w:pStyle w:val="ListBullet"/>
        <w:spacing w:after="50"/>
      </w:pPr>
      <w:r>
        <w:t>No convertir cada Subcomponent en destino KPI.</w:t>
      </w:r>
    </w:p>
    <w:p>
      <w:pPr>
        <w:pStyle w:val="ListBullet"/>
        <w:spacing w:after="50"/>
      </w:pPr>
      <w:r>
        <w:t>No crear Stores o Collectors por cada fase.</w:t>
      </w:r>
    </w:p>
    <w:p>
      <w:pPr>
        <w:pStyle w:val="ListBullet"/>
        <w:spacing w:after="50"/>
      </w:pPr>
      <w:r>
        <w:t>No hacer que la UI aparezca sólo después de recibir datos.</w:t>
      </w:r>
    </w:p>
    <w:p>
      <w:pPr>
        <w:pStyle w:val="ListBullet"/>
        <w:spacing w:after="50"/>
      </w:pPr>
      <w:r>
        <w:t>No usar NOT_MAPPED para representar Cosmos vacío o ausencia normal de medición.</w:t>
      </w:r>
    </w:p>
    <w:p>
      <w:pPr>
        <w:pStyle w:val="ListBullet"/>
        <w:spacing w:after="50"/>
      </w:pPr>
      <w:r>
        <w:t>No asumir que Component equivale a un card único.</w:t>
      </w:r>
    </w:p>
    <w:p>
      <w:pPr>
        <w:pStyle w:val="ListBullet"/>
        <w:spacing w:after="50"/>
      </w:pPr>
      <w:r>
        <w:t>No duplicar datos por linked_component_keys.</w:t>
      </w:r>
    </w:p>
    <w:p>
      <w:pPr>
        <w:pStyle w:val="ListBullet"/>
        <w:spacing w:after="50"/>
      </w:pPr>
      <w:r>
        <w:t>No ampliar ToolStructure.kpi_destination_keys sin una nueva decisión explícita.</w:t>
      </w:r>
    </w:p>
    <w:p>
      <w:pPr>
        <w:pStyle w:val="ListBullet"/>
        <w:spacing w:after="50"/>
      </w:pPr>
      <w:r>
        <w:t>No agregar paginación u orquestación compleja de datos anticipadamente; se hará sólo si la escala real lo exige.</w:t>
      </w:r>
    </w:p>
    <w:p>
      <w:pPr>
        <w:pStyle w:val="Heading1"/>
      </w:pPr>
      <w:r>
        <w:t>16. Próximo incremento recomendado</w:t>
      </w:r>
    </w:p>
    <w:p>
      <w:r>
        <w:t>La siguiente frontera debe cerrar físicamente Tool Projection → KPI Configuration sin alterar las decisiones anteriores.</w:t>
      </w:r>
    </w:p>
    <w:p>
      <w:pPr>
        <w:pStyle w:val="CodeBlock"/>
        <w:shd w:fill="F3F4F5"/>
      </w:pPr>
      <w:r>
        <w:t>Tool Projection</w:t>
        <w:br/>
        <w:t xml:space="preserve">      ↓</w:t>
        <w:br/>
        <w:t>KPI Destination Authority Bridge</w:t>
        <w:br/>
        <w:t xml:space="preserve">      ↓</w:t>
        <w:br/>
        <w:t>KpiDestinationCatalog</w:t>
        <w:br/>
        <w:t>├── tool_projection_revision</w:t>
        <w:br/>
        <w:t>└── destinations</w:t>
        <w:br/>
        <w:t xml:space="preserve">    ├── global_indicators</w:t>
        <w:br/>
        <w:t xml:space="preserve">    ├── time_status</w:t>
        <w:br/>
        <w:t xml:space="preserve">    └── Component keys</w:t>
      </w:r>
    </w:p>
    <w:p>
      <w:r>
        <w:t>Ese bridge debe derivarse exclusivamente de la estructura proyectada de Tool y no de la disponibilidad de datos. Después de dejarlo GREEN corresponde decidir el orden de integración de los módulos KPI al Manager.</w:t>
      </w:r>
    </w:p>
    <w:p>
      <w:pPr>
        <w:pStyle w:val="Heading1"/>
      </w:pPr>
      <w:r>
        <w:t>17. Decisiones abiertas deliberadamente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320"/>
            <w:shd w:fill="4A4C53"/>
            <w:tcMar>
              <w:top w:w="80" w:type="dxa"/>
              <w:start w:w="90" w:type="dxa"/>
              <w:bottom w:w="80" w:type="dxa"/>
              <w:end w:w="90" w:type="dxa"/>
            </w:tcMar>
            <w:vAlign w:val="center"/>
          </w:tcPr>
          <w:p>
            <w:pPr>
              <w:jc w:val="left"/>
            </w:pPr>
            <w:r>
              <w:rPr>
                <w:b/>
                <w:color w:val="FFFFFF"/>
                <w:sz w:val="17"/>
              </w:rPr>
              <w:t>Tema</w:t>
            </w:r>
          </w:p>
        </w:tc>
        <w:tc>
          <w:tcPr>
            <w:tcW w:type="dxa" w:w="6336"/>
            <w:shd w:fill="4A4C53"/>
            <w:tcMar>
              <w:top w:w="80" w:type="dxa"/>
              <w:start w:w="90" w:type="dxa"/>
              <w:bottom w:w="80" w:type="dxa"/>
              <w:end w:w="90" w:type="dxa"/>
            </w:tcMar>
            <w:vAlign w:val="center"/>
          </w:tcPr>
          <w:p>
            <w:pPr>
              <w:jc w:val="left"/>
            </w:pPr>
            <w:r>
              <w:rPr>
                <w:b/>
                <w:color w:val="FFFFFF"/>
                <w:sz w:val="17"/>
              </w:rPr>
              <w:t>Estado actual</w:t>
            </w:r>
          </w:p>
        </w:tc>
      </w:tr>
      <w:tr>
        <w:tc>
          <w:tcPr>
            <w:tcW w:type="dxa" w:w="4320"/>
            <w:tcMar>
              <w:top w:w="80" w:type="dxa"/>
              <w:start w:w="90" w:type="dxa"/>
              <w:bottom w:w="80" w:type="dxa"/>
              <w:end w:w="90" w:type="dxa"/>
            </w:tcMar>
            <w:shd w:fill="F7F7F8"/>
            <w:vAlign w:val="center"/>
          </w:tcPr>
          <w:p>
            <w:r>
              <w:rPr>
                <w:color w:val="36383E"/>
                <w:sz w:val="17"/>
              </w:rPr>
              <w:t>SVG específico para EMPTY</w:t>
            </w:r>
          </w:p>
        </w:tc>
        <w:tc>
          <w:tcPr>
            <w:tcW w:type="dxa" w:w="6336"/>
            <w:tcMar>
              <w:top w:w="80" w:type="dxa"/>
              <w:start w:w="90" w:type="dxa"/>
              <w:bottom w:w="80" w:type="dxa"/>
              <w:end w:w="90" w:type="dxa"/>
            </w:tcMar>
            <w:shd w:fill="F7F7F8"/>
            <w:vAlign w:val="center"/>
          </w:tcPr>
          <w:p>
            <w:r>
              <w:rPr>
                <w:color w:val="36383E"/>
                <w:sz w:val="17"/>
              </w:rPr>
              <w:t>Semántica aprobada; diseño/render exacto se decide en incremento de UX/rendering.</w:t>
            </w:r>
          </w:p>
        </w:tc>
      </w:tr>
      <w:tr>
        <w:tc>
          <w:tcPr>
            <w:tcW w:type="dxa" w:w="4320"/>
            <w:tcMar>
              <w:top w:w="80" w:type="dxa"/>
              <w:start w:w="90" w:type="dxa"/>
              <w:bottom w:w="80" w:type="dxa"/>
              <w:end w:w="90" w:type="dxa"/>
            </w:tcMar>
            <w:vAlign w:val="center"/>
          </w:tcPr>
          <w:p>
            <w:r>
              <w:rPr>
                <w:color w:val="36383E"/>
                <w:sz w:val="17"/>
              </w:rPr>
              <w:t>Paginación de grandes colecciones/fases</w:t>
            </w:r>
          </w:p>
        </w:tc>
        <w:tc>
          <w:tcPr>
            <w:tcW w:type="dxa" w:w="6336"/>
            <w:tcMar>
              <w:top w:w="80" w:type="dxa"/>
              <w:start w:w="90" w:type="dxa"/>
              <w:bottom w:w="80" w:type="dxa"/>
              <w:end w:w="90" w:type="dxa"/>
            </w:tcMar>
            <w:vAlign w:val="center"/>
          </w:tcPr>
          <w:p>
            <w:r>
              <w:rPr>
                <w:color w:val="36383E"/>
                <w:sz w:val="17"/>
              </w:rPr>
              <w:t>No requerida hoy; mantener como optimización futura dentro de la frontera del Component.</w:t>
            </w:r>
          </w:p>
        </w:tc>
      </w:tr>
      <w:tr>
        <w:tc>
          <w:tcPr>
            <w:tcW w:type="dxa" w:w="4320"/>
            <w:tcMar>
              <w:top w:w="80" w:type="dxa"/>
              <w:start w:w="90" w:type="dxa"/>
              <w:bottom w:w="80" w:type="dxa"/>
              <w:end w:w="90" w:type="dxa"/>
            </w:tcMar>
            <w:shd w:fill="F7F7F8"/>
            <w:vAlign w:val="center"/>
          </w:tcPr>
          <w:p>
            <w:r>
              <w:rPr>
                <w:color w:val="36383E"/>
                <w:sz w:val="17"/>
              </w:rPr>
              <w:t>Exposición de dependency revisions en Manager genérico</w:t>
            </w:r>
          </w:p>
        </w:tc>
        <w:tc>
          <w:tcPr>
            <w:tcW w:type="dxa" w:w="6336"/>
            <w:tcMar>
              <w:top w:w="80" w:type="dxa"/>
              <w:start w:w="90" w:type="dxa"/>
              <w:bottom w:w="80" w:type="dxa"/>
              <w:end w:w="90" w:type="dxa"/>
            </w:tcMar>
            <w:shd w:fill="F7F7F8"/>
            <w:vAlign w:val="center"/>
          </w:tcPr>
          <w:p>
            <w:r>
              <w:rPr>
                <w:color w:val="36383E"/>
                <w:sz w:val="17"/>
              </w:rPr>
              <w:t>Pendiente; no ampliar contrato genérico sin necesidad demostrada.</w:t>
            </w:r>
          </w:p>
        </w:tc>
      </w:tr>
      <w:tr>
        <w:tc>
          <w:tcPr>
            <w:tcW w:type="dxa" w:w="4320"/>
            <w:tcMar>
              <w:top w:w="80" w:type="dxa"/>
              <w:start w:w="90" w:type="dxa"/>
              <w:bottom w:w="80" w:type="dxa"/>
              <w:end w:w="90" w:type="dxa"/>
            </w:tcMar>
            <w:vAlign w:val="center"/>
          </w:tcPr>
          <w:p>
            <w:r>
              <w:rPr>
                <w:color w:val="36383E"/>
                <w:sz w:val="17"/>
              </w:rPr>
              <w:t>Manager KPI Configuration / KPI Definition</w:t>
            </w:r>
          </w:p>
        </w:tc>
        <w:tc>
          <w:tcPr>
            <w:tcW w:type="dxa" w:w="6336"/>
            <w:tcMar>
              <w:top w:w="80" w:type="dxa"/>
              <w:start w:w="90" w:type="dxa"/>
              <w:bottom w:w="80" w:type="dxa"/>
              <w:end w:w="90" w:type="dxa"/>
            </w:tcMar>
            <w:vAlign w:val="center"/>
          </w:tcPr>
          <w:p>
            <w:r>
              <w:rPr>
                <w:color w:val="36383E"/>
                <w:sz w:val="17"/>
              </w:rPr>
              <w:t>Pendiente hasta cerrar Tool → KPI Destination Authority Bridge.</w:t>
            </w:r>
          </w:p>
        </w:tc>
      </w:tr>
      <w:tr>
        <w:tc>
          <w:tcPr>
            <w:tcW w:type="dxa" w:w="4320"/>
            <w:tcMar>
              <w:top w:w="80" w:type="dxa"/>
              <w:start w:w="90" w:type="dxa"/>
              <w:bottom w:w="80" w:type="dxa"/>
              <w:end w:w="90" w:type="dxa"/>
            </w:tcMar>
            <w:shd w:fill="F7F7F8"/>
            <w:vAlign w:val="center"/>
          </w:tcPr>
          <w:p>
            <w:r>
              <w:rPr>
                <w:color w:val="36383E"/>
                <w:sz w:val="17"/>
              </w:rPr>
              <w:t>Corrective mirrors de páginas CL-003A</w:t>
            </w:r>
          </w:p>
        </w:tc>
        <w:tc>
          <w:tcPr>
            <w:tcW w:type="dxa" w:w="6336"/>
            <w:tcMar>
              <w:top w:w="80" w:type="dxa"/>
              <w:start w:w="90" w:type="dxa"/>
              <w:bottom w:w="80" w:type="dxa"/>
              <w:end w:w="90" w:type="dxa"/>
            </w:tcMar>
            <w:shd w:fill="F7F7F8"/>
            <w:vAlign w:val="center"/>
          </w:tcPr>
          <w:p>
            <w:r>
              <w:rPr>
                <w:color w:val="36383E"/>
                <w:sz w:val="17"/>
              </w:rPr>
              <w:t>Pendiente antes de declarar CL-003 completo.</w:t>
            </w:r>
          </w:p>
        </w:tc>
      </w:tr>
    </w:tbl>
    <w:p>
      <w:pPr>
        <w:spacing w:after="20"/>
      </w:pPr>
    </w:p>
    <w:p>
      <w:pPr>
        <w:pStyle w:val="Heading1"/>
      </w:pPr>
      <w:r>
        <w:t>18. Resumen autoritativo para futuras implementaciones</w:t>
      </w:r>
    </w:p>
    <w:p>
      <w:pPr>
        <w:pStyle w:val="CodeBlock"/>
        <w:shd w:fill="F3F4F5"/>
      </w:pPr>
      <w:r>
        <w:t>CONFIGURATION DETERMINES EXISTENCE.</w:t>
        <w:br/>
        <w:t>DATA DETERMINES STATE.</w:t>
        <w:br/>
        <w:br/>
        <w:t>Tool → define estructura.</w:t>
        <w:br/>
        <w:t>Component → unidad funcional, Store, Collector y destino KPI.</w:t>
        <w:br/>
        <w:t>Subcomponent → fase visual; sin Store propio y sin destino KPI.</w:t>
        <w:br/>
        <w:t>Subcomponent → sí puede recibir color de alarma.</w:t>
        <w:br/>
        <w:t>PROCESS CENTER → 1 Component, 1 Store, 1..N sibling cards.</w:t>
        <w:br/>
        <w:t>Integrated Operations → linked_component_keys comparte visibilidad, no datos.</w:t>
        <w:br/>
        <w:t>Cosmos vacío → UI completa con EMPTY.</w:t>
        <w:br/>
        <w:t>EMPTY ≠ NOT_MAPPED.</w:t>
        <w:br/>
        <w:t>KPI Configuration → existencia + destinos + política Delivery.</w:t>
        <w:br/>
        <w:t>KPI Definition → significado, sujeto a autoridad KPI.</w:t>
        <w:br/>
        <w:t>Alarmas y datos → dimensiones independientes.</w:t>
      </w:r>
    </w:p>
    <w:p>
      <w:pPr>
        <w:spacing w:before="200"/>
        <w:jc w:val="center"/>
      </w:pPr>
      <w:r>
        <w:rPr>
          <w:b/>
          <w:color w:val="5C5E65"/>
          <w:sz w:val="18"/>
        </w:rPr>
        <w:t>FIN DEL DOCUMENTO AUTORITATIVO</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iberation Sans" w:hAnsi="Liberation Sans"/>
        <w:color w:val="5C5E65"/>
        <w:sz w:val="15"/>
      </w:rPr>
      <w:t>Documento autoritativo · 01-09-2026</w:t>
    </w:r>
  </w:p>
  <w:p>
    <w:pPr>
      <w:jc w:val="right"/>
    </w:pPr>
    <w:r>
      <w:rPr>
        <w:color w:val="5C5E65"/>
        <w:sz w:val="16"/>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C5E65"/>
        <w:sz w:val="15"/>
      </w:rPr>
      <w:t>ATLANTICUS / ADA  ·  CONTRATOS TOOL → KPI → RENDER → ALARMAS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36383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Liberation Sans" w:hAnsi="Liberation Sans"/>
      <w:b/>
      <w:bCs/>
      <w:color w:val="36383E"/>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495B71"/>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Liberation Sans" w:hAnsi="Liberation Sans"/>
      <w:b/>
      <w:bCs/>
      <w:color w:val="5C5E6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36383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pPr>
      <w:spacing w:before="60" w:after="100"/>
    </w:pPr>
    <w:rPr>
      <w:rFonts w:ascii="Liberation Sans" w:hAnsi="Liberation Sans"/>
      <w:b/>
      <w:color w:val="495B71"/>
      <w:sz w:val="19"/>
    </w:rPr>
  </w:style>
  <w:style w:type="paragraph" w:customStyle="1" w:styleId="CodeBlock">
    <w:name w:val="Code Block"/>
    <w:pPr>
      <w:keepLines/>
      <w:spacing w:before="80" w:after="140"/>
      <w:ind w:left="259" w:right="259"/>
    </w:pPr>
    <w:rPr>
      <w:rFonts w:ascii="Liberation Mono" w:hAnsi="Liberation Mono"/>
      <w:sz w:val="16"/>
    </w:rPr>
  </w:style>
  <w:style w:type="paragraph" w:customStyle="1" w:styleId="SmallNote">
    <w:name w:val="Small Note"/>
    <w:pPr>
      <w:spacing w:after="60"/>
    </w:pPr>
    <w:rPr>
      <w:rFonts w:ascii="Liberation Sans" w:hAnsi="Liberation Sans"/>
      <w:color w:val="5C5E6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Atlanticus / ADA — Autoridad Tool → KPI → Render → Alarmas</dc:title>
  <dc:subject>Checkpoint autoritativo de arquitectura y contratos</dc:subject>
  <dc:creator>python-docx</dc:creator>
  <cp:keywords>Atlanticus, ADA, Tool, KPI, Manager, alarmas, render, EMPTY, NOT_MAPPED</cp:keywords>
  <dc:description>Documento autoritativo generado para consolidar decisiones del proyecto al 01-09-2026.</dc:description>
  <cp:lastModifiedBy/>
  <cp:revision>1</cp:revision>
  <dcterms:created xsi:type="dcterms:W3CDTF">2013-12-23T23:15:00Z</dcterms:created>
  <dcterms:modified xsi:type="dcterms:W3CDTF">2013-12-23T23:15:00Z</dcterms:modified>
  <cp:category/>
</cp:coreProperties>
</file>