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Backend Process Productization</w:t>
      </w:r>
    </w:p>
    <w:p>
      <w:pPr>
        <w:spacing w:after="140"/>
      </w:pPr>
      <w:r>
        <w:rPr>
          <w:b/>
          <w:sz w:val="23"/>
        </w:rPr>
        <w:t>Registro de decisiones, secuencia de trabajo y documentación diferida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 w:val="true"/>
        </w:trPr>
        <w:tc>
          <w:tcPr>
            <w:tcW w:type="dxa" w:w="4997"/>
            <w:shd w:fill="E7E6E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Proyecto</w:t>
            </w:r>
          </w:p>
        </w:tc>
        <w:tc>
          <w:tcPr>
            <w:tcW w:type="dxa" w:w="4997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Ecosystem Atlanticus / ADA Backend</w:t>
            </w:r>
          </w:p>
        </w:tc>
      </w:tr>
      <w:tr>
        <w:trPr>
          <w:cantSplit w:val="true"/>
        </w:trPr>
        <w:tc>
          <w:tcPr>
            <w:tcW w:type="dxa" w:w="4997"/>
            <w:shd w:fill="E7E6E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Fecha de registro</w:t>
            </w:r>
          </w:p>
        </w:tc>
        <w:tc>
          <w:tcPr>
            <w:tcW w:type="dxa" w:w="4997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2026-09-01</w:t>
            </w:r>
          </w:p>
        </w:tc>
      </w:tr>
      <w:tr>
        <w:trPr>
          <w:cantSplit w:val="true"/>
        </w:trPr>
        <w:tc>
          <w:tcPr>
            <w:tcW w:type="dxa" w:w="4997"/>
            <w:shd w:fill="E7E6E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Checkpoint de entrada</w:t>
            </w:r>
          </w:p>
        </w:tc>
        <w:tc>
          <w:tcPr>
            <w:tcW w:type="dxa" w:w="4997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R3.6M-005B.4 — KPI Timeseries Aligned Checkpoint Reconciliation — GREEN</w:t>
            </w:r>
          </w:p>
        </w:tc>
      </w:tr>
      <w:tr>
        <w:trPr>
          <w:cantSplit w:val="true"/>
        </w:trPr>
        <w:tc>
          <w:tcPr>
            <w:tcW w:type="dxa" w:w="4997"/>
            <w:shd w:fill="E7E6E6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55" w:type="dxa"/>
              <w:start w:w="80" w:type="dxa"/>
              <w:bottom w:w="55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9"/>
              </w:rPr>
              <w:t>Diseño acordado para el siguiente bloque de productización de procesos</w:t>
            </w:r>
          </w:p>
        </w:tc>
      </w:tr>
    </w:tbl>
    <w:p>
      <w:pPr>
        <w:pStyle w:val="Heading1"/>
      </w:pPr>
      <w:r>
        <w:t>1. Decisión principal</w:t>
      </w:r>
    </w:p>
    <w:p>
      <w:r>
        <w:rPr>
          <w:b/>
        </w:rPr>
        <w:t xml:space="preserve">El trabajo de este bloque permanece exclusivamente en Backend. </w:t>
      </w:r>
      <w:r>
        <w:t>La integración Web de ADA se desarrolla en otra capa y no forma parte de esta secuencia. El objetivo inmediato es convertir los procesos Backend ya cerrados funcionalmente en artefactos transportables, ejecutables y posteriormente distribuibles.</w:t>
      </w:r>
    </w:p>
    <w:p>
      <w:pPr>
        <w:pStyle w:val="ListBullet"/>
        <w:spacing w:after="0" w:before="0"/>
      </w:pPr>
      <w:r>
        <w:t>No avanzar contratos Web ni hidratación UI desde este bloque.</w:t>
      </w:r>
    </w:p>
    <w:p>
      <w:pPr>
        <w:pStyle w:val="ListBullet"/>
        <w:spacing w:after="0" w:before="0"/>
      </w:pPr>
      <w:r>
        <w:t>No introducir mecanismos de packaging específicos para KPI.</w:t>
      </w:r>
    </w:p>
    <w:p>
      <w:pPr>
        <w:pStyle w:val="ListBullet"/>
        <w:spacing w:after="0" w:before="0"/>
      </w:pPr>
      <w:r>
        <w:t>Usar el tooling genérico de procesos de Atlanticus como única vía de artifact/container.</w:t>
      </w:r>
    </w:p>
    <w:p>
      <w:pPr>
        <w:pStyle w:val="ListBullet"/>
        <w:spacing w:after="0" w:before="0"/>
      </w:pPr>
      <w:r>
        <w:t>Validar primero artifact e imagen/runtime antes de diseñar distribución.</w:t>
      </w:r>
    </w:p>
    <w:p>
      <w:pPr>
        <w:pStyle w:val="Heading1"/>
      </w:pPr>
      <w:r>
        <w:t>2. Procesos KPI involucrados</w:t>
      </w:r>
    </w:p>
    <w:p>
      <w:r>
        <w:t>Los tres procesos nuevos que deben entrar primero al flujo de artifact son:</w:t>
      </w:r>
    </w:p>
    <w:p>
      <w:pPr>
        <w:pStyle w:val="ListBullet"/>
        <w:spacing w:after="0" w:before="0"/>
      </w:pPr>
      <w:r>
        <w:t>ada-kpi-delivery</w:t>
      </w:r>
    </w:p>
    <w:p>
      <w:pPr>
        <w:pStyle w:val="ListBullet"/>
        <w:spacing w:after="0" w:before="0"/>
      </w:pPr>
      <w:r>
        <w:t>ada-kpi-historian</w:t>
      </w:r>
    </w:p>
    <w:p>
      <w:pPr>
        <w:pStyle w:val="ListBullet"/>
        <w:spacing w:after="0" w:before="0"/>
      </w:pPr>
      <w:r>
        <w:t>ada-kpi-timeseries-delivery</w:t>
      </w:r>
    </w:p>
    <w:p>
      <w:r>
        <w:rPr>
          <w:b/>
        </w:rPr>
        <w:t>ada-kpi-runtime</w:t>
      </w:r>
      <w:r>
        <w:t xml:space="preserve"> pertenece al bloque KPI anterior y ya posee contrato de contenedor. No se considera uno de los tres procesos nuevos, pero se incorporará en la qualification integrada para probar el ciclo KPI completo.</w:t>
      </w:r>
    </w:p>
    <w:p>
      <w:pPr>
        <w:pStyle w:val="Heading1"/>
      </w:pPr>
      <w:r>
        <w:t>3. Contrato de exportación basado en pyproject.toml</w:t>
      </w:r>
    </w:p>
    <w:p>
      <w:r>
        <w:rPr>
          <w:b/>
        </w:rPr>
        <w:t xml:space="preserve">Regla acordada: </w:t>
      </w:r>
      <w:r>
        <w:t>el pyproject.toml del proceso es la autoridad que declara si el proyecto es ejecutable/exportable.</w:t>
      </w:r>
    </w:p>
    <w:p>
      <w:pPr>
        <w:pStyle w:val="IntenseQuote"/>
      </w:pPr>
      <w:r>
        <w:t>[project.scripts]</w:t>
        <w:br/>
        <w:t>&lt;command&gt; = "&lt;module&gt;:main"</w:t>
        <w:br/>
        <w:br/>
        <w:t>[tool.atlanticus.container]</w:t>
        <w:br/>
        <w:t>command = "&lt;command&gt;"</w:t>
        <w:br/>
        <w:t>system-profile = "base | sqlserver"</w:t>
      </w:r>
    </w:p>
    <w:p>
      <w:r>
        <w:t>El bundler debe resolver las dependencias internas fijadas por versión y transportarlas como wheels. No debe mantener listas manuales de componentes por proceso.</w:t>
      </w:r>
    </w:p>
    <w:p>
      <w:pPr>
        <w:pStyle w:val="ListBullet"/>
        <w:spacing w:after="0" w:before="0"/>
      </w:pPr>
      <w:r>
        <w:t>Un package/librería no se convierte automáticamente en un contenedor.</w:t>
      </w:r>
    </w:p>
    <w:p>
      <w:pPr>
        <w:pStyle w:val="ListBullet"/>
        <w:spacing w:after="0" w:before="0"/>
      </w:pPr>
      <w:r>
        <w:t>Un process declara explícitamente su capacidad de ejecución mediante [tool.atlanticus.container].</w:t>
      </w:r>
    </w:p>
    <w:p>
      <w:pPr>
        <w:pStyle w:val="ListBullet"/>
        <w:spacing w:after="0" w:before="0"/>
      </w:pPr>
      <w:r>
        <w:t>Las librerías y componentes del proceso viajan como dependencias transitivas del artifact.</w:t>
      </w:r>
    </w:p>
    <w:p>
      <w:pPr>
        <w:pStyle w:val="ListBullet"/>
        <w:spacing w:after="0" w:before="0"/>
      </w:pPr>
      <w:r>
        <w:t>El mismo patrón debe servir para KPI, Alarm Runtime, Operational Data y procesos futuros.</w:t>
      </w:r>
    </w:p>
    <w:p>
      <w:pPr>
        <w:pStyle w:val="Heading1"/>
      </w:pPr>
      <w:r>
        <w:t>4. Reutilización para Alarm Runtime</w:t>
      </w:r>
    </w:p>
    <w:p>
      <w:r>
        <w:t>La reconciliación del tooling no se diseña como una excepción para KPI. Debe permitir que Alarm Runtime use exactamente el mismo flujo.</w:t>
      </w:r>
    </w:p>
    <w:p>
      <w:pPr>
        <w:pStyle w:val="IntenseQuote"/>
      </w:pPr>
      <w:r>
        <w:t>alarm-runtime/pyproject.toml</w:t>
        <w:br/>
        <w:t>↓</w:t>
        <w:br/>
        <w:t>Process Bundler</w:t>
        <w:br/>
        <w:t>↓</w:t>
        <w:br/>
        <w:t>artifact del proceso</w:t>
        <w:br/>
        <w:t>├─ src/ del process</w:t>
        <w:br/>
        <w:t>├─ wheels/ de dependencias internas</w:t>
        <w:br/>
        <w:t>├─ pyproject.toml</w:t>
        <w:br/>
        <w:t>└─ uv.lock</w:t>
        <w:br/>
        <w:t>↓</w:t>
        <w:br/>
        <w:t>imagen / runtime</w:t>
      </w:r>
    </w:p>
    <w:p>
      <w:r>
        <w:t>No se pretende crear una imagen independiente por cada módulo interno de Alarmas. El process es la unidad ejecutable; sus componentes conservan su modularidad como packages.</w:t>
      </w:r>
    </w:p>
    <w:p>
      <w:pPr>
        <w:pStyle w:val="Heading1"/>
      </w:pPr>
      <w:r>
        <w:t>5. Problema de layout que debe resolver el tooling</w:t>
      </w:r>
    </w:p>
    <w:p>
      <w:r>
        <w:t>El tooling de deployment existente fue construido para descubrir procesos bajo el layout clásico:</w:t>
      </w:r>
    </w:p>
    <w:p>
      <w:pPr>
        <w:pStyle w:val="IntenseQuote"/>
      </w:pPr>
      <w:r>
        <w:t>scopes/&lt;scope&gt;/processes/&lt;process&gt;</w:t>
      </w:r>
    </w:p>
    <w:p>
      <w:r>
        <w:t>La migración ADA Backend usa además el nuevo layout:</w:t>
      </w:r>
    </w:p>
    <w:p>
      <w:pPr>
        <w:pStyle w:val="IntenseQuote"/>
      </w:pPr>
      <w:r>
        <w:t>scopes/&lt;scope&gt;/backend/processes/&lt;process&gt;</w:t>
      </w:r>
    </w:p>
    <w:p>
      <w:r>
        <w:t>La solución acordada es soportar explícitamente ambos layouts. No se usará una búsqueda recursiva indiscriminada que convierta cualquier carpeta llamada "processes" en una frontera exportable.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3331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Layout</w:t>
            </w:r>
          </w:p>
        </w:tc>
        <w:tc>
          <w:tcPr>
            <w:tcW w:type="dxa" w:w="3331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Estado</w:t>
            </w:r>
          </w:p>
        </w:tc>
        <w:tc>
          <w:tcPr>
            <w:tcW w:type="dxa" w:w="3331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Uso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scopes/&lt;scope&gt;/processes/*</w:t>
            </w:r>
          </w:p>
        </w:tc>
        <w:tc>
          <w:tcPr>
            <w:tcW w:type="dxa" w:w="333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KEEP</w:t>
            </w:r>
          </w:p>
        </w:tc>
        <w:tc>
          <w:tcPr>
            <w:tcW w:type="dxa" w:w="333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Operational Data y scopes con layout clásico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scopes/&lt;scope&gt;/backend/processes/*</w:t>
            </w:r>
          </w:p>
        </w:tc>
        <w:tc>
          <w:tcPr>
            <w:tcW w:type="dxa" w:w="333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ADD</w:t>
            </w:r>
          </w:p>
        </w:tc>
        <w:tc>
          <w:tcPr>
            <w:tcW w:type="dxa" w:w="333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ADA Backend y futuros scopes equivalentes</w:t>
            </w:r>
          </w:p>
        </w:tc>
      </w:tr>
    </w:tbl>
    <w:p>
      <w:pPr>
        <w:pStyle w:val="Heading1"/>
      </w:pPr>
      <w:r>
        <w:t>6. Secuencia acordada de productización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2498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Incremento</w:t>
            </w:r>
          </w:p>
        </w:tc>
        <w:tc>
          <w:tcPr>
            <w:tcW w:type="dxa" w:w="2498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Objetivo</w:t>
            </w:r>
          </w:p>
        </w:tc>
        <w:tc>
          <w:tcPr>
            <w:tcW w:type="dxa" w:w="2498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Resultado esperado</w:t>
            </w:r>
          </w:p>
        </w:tc>
        <w:tc>
          <w:tcPr>
            <w:tcW w:type="dxa" w:w="2498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No incluye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C.1</w:t>
              <w:br/>
              <w:t>Process Artifact Discovery Reconciliation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Reconciliar el tooling genérico con ambos layouts de processes.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Discovery y resolución de procesos ADA Backend sin hardcodear KPI.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Cambios funcionales en KPI, Web, distribución.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C.2</w:t>
              <w:br/>
              <w:t>KPI Transport Artifacts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Generar artifacts reales de los tres procesos KPI nuevos.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pyproject + uv.lock + wheels + src transportables.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Distribución remota o documentación final.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C.3</w:t>
              <w:br/>
              <w:t>KPI Container Runtime Qualification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Construir imágenes y ejecutar --run-once individual e integrado.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Bootstrap/runtime reales validados dentro del contenedor.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ACR/Azure release.</w:t>
            </w:r>
          </w:p>
        </w:tc>
      </w:tr>
      <w:tr>
        <w:trPr>
          <w:cantSplit w:val="true"/>
        </w:trPr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C.4</w:t>
              <w:br/>
              <w:t>Process Distribution Contract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Definir identidad y transporte de imágenes distribuibles.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Contrato OCI/version/tag/digest/destino.</w:t>
            </w:r>
          </w:p>
        </w:tc>
        <w:tc>
          <w:tcPr>
            <w:tcW w:type="dxa" w:w="2498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README finales y ADA Command Web.</w:t>
            </w:r>
          </w:p>
        </w:tc>
      </w:tr>
    </w:tbl>
    <w:p>
      <w:pPr>
        <w:pStyle w:val="Heading1"/>
      </w:pPr>
      <w:r>
        <w:t>7. Qualification prevista</w:t>
      </w:r>
    </w:p>
    <w:p>
      <w:r>
        <w:t>La progresión de gates operacionales para los procesos será:</w:t>
      </w:r>
    </w:p>
    <w:p>
      <w:pPr>
        <w:pStyle w:val="IntenseQuote"/>
      </w:pPr>
      <w:r>
        <w:t>SOURCE GREEN</w:t>
        <w:br/>
        <w:t>↓</w:t>
        <w:br/>
        <w:t>ARTIFACT GREEN</w:t>
        <w:br/>
        <w:t>↓</w:t>
        <w:br/>
        <w:t>IMAGE / RUNTIME GREEN</w:t>
        <w:br/>
        <w:t>↓</w:t>
        <w:br/>
        <w:t>DISTRIBUTION</w:t>
      </w:r>
    </w:p>
    <w:p>
      <w:pPr>
        <w:pStyle w:val="Heading2"/>
      </w:pPr>
      <w:r>
        <w:t>7.1 Qualification individual</w:t>
      </w:r>
    </w:p>
    <w:p>
      <w:pPr>
        <w:pStyle w:val="ListNumber"/>
        <w:spacing w:after="0"/>
      </w:pPr>
      <w:r>
        <w:t>ada-kpi-delivery --run-once</w:t>
      </w:r>
    </w:p>
    <w:p>
      <w:pPr>
        <w:pStyle w:val="ListNumber"/>
        <w:spacing w:after="0"/>
      </w:pPr>
      <w:r>
        <w:t>ada-kpi-historian --run-once</w:t>
      </w:r>
    </w:p>
    <w:p>
      <w:pPr>
        <w:pStyle w:val="ListNumber"/>
        <w:spacing w:after="0"/>
      </w:pPr>
      <w:r>
        <w:t>ada-kpi-timeseries-delivery --run-once</w:t>
      </w:r>
    </w:p>
    <w:p>
      <w:r>
        <w:t>Cada prueba debe demostrar, según corresponda: bootstrap, resolución de configuración/secretos, conectividad, Job Runtime, lease/fence, repositorios, una iteración real y terminación controlada.</w:t>
      </w:r>
    </w:p>
    <w:p>
      <w:pPr>
        <w:pStyle w:val="Heading2"/>
      </w:pPr>
      <w:r>
        <w:t>7.2 Qualification integrada KPI</w:t>
      </w:r>
    </w:p>
    <w:p>
      <w:pPr>
        <w:pStyle w:val="IntenseQuote"/>
      </w:pPr>
      <w:r>
        <w:t>Operational Data</w:t>
        <w:br/>
        <w:t>↓</w:t>
        <w:br/>
        <w:t>ada-kpi-runtime</w:t>
        <w:br/>
        <w:t>↓</w:t>
        <w:br/>
        <w:t>KPI Persistence</w:t>
        <w:br/>
        <w:t>├────────→ ada-kpi-delivery</w:t>
        <w:br/>
        <w:t>└→ ada-kpi-historian</w:t>
        <w:br/>
        <w:t xml:space="preserve">       ↓</w:t>
        <w:br/>
        <w:t>History / Authority</w:t>
        <w:br/>
        <w:t xml:space="preserve">       ↓</w:t>
        <w:br/>
        <w:t>ada-kpi-timeseries-delivery</w:t>
      </w:r>
    </w:p>
    <w:p>
      <w:r>
        <w:t>La qualification integrada se ejecutará sólo después de que los procesos nuevos hayan pasado su qualification individual.</w:t>
      </w:r>
    </w:p>
    <w:p>
      <w:pPr>
        <w:pStyle w:val="Heading1"/>
      </w:pPr>
      <w:r>
        <w:t>8. Distribución: estado y alcance posterior</w:t>
      </w:r>
    </w:p>
    <w:p>
      <w:r>
        <w:t>El repositorio ya posee bundler, Dockerfile común y ejecución local con Compose, pero la etapa de distribución productiva de imágenes todavía debe formalizarse.</w:t>
      </w:r>
    </w:p>
    <w:p>
      <w:pPr>
        <w:pStyle w:val="ListBullet"/>
        <w:spacing w:after="0" w:before="0"/>
      </w:pPr>
      <w:r>
        <w:t>Definir imagen OCI como unidad distribuible.</w:t>
      </w:r>
    </w:p>
    <w:p>
      <w:pPr>
        <w:pStyle w:val="ListBullet"/>
        <w:spacing w:after="0" w:before="0"/>
      </w:pPr>
      <w:r>
        <w:t>Definir identidad/versionado/tagging.</w:t>
      </w:r>
    </w:p>
    <w:p>
      <w:pPr>
        <w:pStyle w:val="ListBullet"/>
        <w:spacing w:after="0" w:before="0"/>
      </w:pPr>
      <w:r>
        <w:t>Registrar digest inmutable.</w:t>
      </w:r>
    </w:p>
    <w:p>
      <w:pPr>
        <w:pStyle w:val="ListBullet"/>
        <w:spacing w:after="0" w:before="0"/>
      </w:pPr>
      <w:r>
        <w:t>Separar artifact transportable de configuración/secrets activos.</w:t>
      </w:r>
    </w:p>
    <w:p>
      <w:pPr>
        <w:pStyle w:val="ListBullet"/>
        <w:spacing w:after="0" w:before="0"/>
      </w:pPr>
      <w:r>
        <w:t>Definir destino de distribución posteriormente; Azure no se usa como qualification inmediata.</w:t>
      </w:r>
    </w:p>
    <w:p>
      <w:pPr>
        <w:pStyle w:val="Heading1"/>
      </w:pPr>
      <w:r>
        <w:t>9. Secuencia posterior para Alarmas y ADA Command</w:t>
      </w:r>
    </w:p>
    <w:p>
      <w:r>
        <w:t>Una vez estabilizado el mecanismo común con KPI, se reutilizará para Alarm Runtime.</w:t>
      </w:r>
    </w:p>
    <w:p>
      <w:pPr>
        <w:pStyle w:val="IntenseQuote"/>
      </w:pPr>
      <w:r>
        <w:t>Process tooling estable</w:t>
        <w:br/>
        <w:t>↓</w:t>
        <w:br/>
        <w:t>Alarm Runtime artifact</w:t>
        <w:br/>
        <w:t>↓</w:t>
        <w:br/>
        <w:t>Alarm container qualification</w:t>
        <w:br/>
        <w:t>↓</w:t>
        <w:br/>
        <w:t>ADA Command Web mínima</w:t>
        <w:br/>
        <w:t>↓</w:t>
        <w:br/>
        <w:t>generación de contratos de configuración</w:t>
        <w:br/>
        <w:t>↓</w:t>
        <w:br/>
        <w:t>prueba funcional de una alarma real</w:t>
      </w:r>
    </w:p>
    <w:p>
      <w:r>
        <w:t>La Web de ADA Command se aborda después de contenerizar Alarm Runtime porque su objetivo inmediato será producir contratos/configuración válidos que permitan ejecutar una alarma funcional de extremo a extremo.</w:t>
      </w:r>
    </w:p>
    <w:p>
      <w:pPr>
        <w:pStyle w:val="Heading1"/>
      </w:pPr>
      <w:r>
        <w:t>10. Documentación expresamente diferida</w:t>
      </w:r>
    </w:p>
    <w:p>
      <w:r>
        <w:rPr>
          <w:b/>
        </w:rPr>
        <w:t xml:space="preserve">Decisión: </w:t>
      </w:r>
      <w:r>
        <w:t>los README y la documentación profunda no forman parte del camino crítico actual. Se elaborarán mucho después, una vez probados KPI, Alarm Runtime y el flujo mínimo de ADA Command.</w:t>
      </w:r>
    </w:p>
    <w:p>
      <w:pPr>
        <w:pStyle w:val="Heading2"/>
      </w:pPr>
      <w:r>
        <w:t>10.1 .env.detail enriquecido</w:t>
      </w:r>
    </w:p>
    <w:p>
      <w:r>
        <w:t>Se retomará posteriormente el uso de .env.detail como documentación operativa de configuración. Cada variable deberá explicar:</w:t>
      </w:r>
    </w:p>
    <w:p>
      <w:pPr>
        <w:pStyle w:val="ListBullet"/>
        <w:spacing w:after="0" w:before="0"/>
      </w:pPr>
      <w:r>
        <w:t>qué controla y para qué existe;</w:t>
      </w:r>
    </w:p>
    <w:p>
      <w:pPr>
        <w:pStyle w:val="ListBullet"/>
        <w:spacing w:after="0" w:before="0"/>
      </w:pPr>
      <w:r>
        <w:t>si es obligatoria o tiene valor por defecto;</w:t>
      </w:r>
    </w:p>
    <w:p>
      <w:pPr>
        <w:pStyle w:val="ListBullet"/>
        <w:spacing w:after="0" w:before="0"/>
      </w:pPr>
      <w:r>
        <w:t>qué valores admite;</w:t>
      </w:r>
    </w:p>
    <w:p>
      <w:pPr>
        <w:pStyle w:val="ListBullet"/>
        <w:spacing w:after="0" w:before="0"/>
      </w:pPr>
      <w:r>
        <w:t>qué significa cada valor cuando existe más de una opción;</w:t>
      </w:r>
    </w:p>
    <w:p>
      <w:pPr>
        <w:pStyle w:val="ListBullet"/>
        <w:spacing w:after="0" w:before="0"/>
      </w:pPr>
      <w:r>
        <w:t>un ejemplo seguro cuando corresponda;</w:t>
      </w:r>
    </w:p>
    <w:p>
      <w:pPr>
        <w:pStyle w:val="ListBullet"/>
        <w:spacing w:after="0" w:before="0"/>
      </w:pPr>
      <w:r>
        <w:t>su relación con configuración externa o secretos, sin exponer credenciales.</w:t>
      </w:r>
    </w:p>
    <w:p>
      <w:pPr>
        <w:pStyle w:val="Heading2"/>
      </w:pPr>
      <w:r>
        <w:t>10.2 Documentación final de procesos</w:t>
      </w:r>
    </w:p>
    <w:p>
      <w:r>
        <w:t>Cuando el sistema esté suficientemente estabilizado, se documentarán al menos estas capas: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3331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Ubicación</w:t>
            </w:r>
          </w:p>
        </w:tc>
        <w:tc>
          <w:tcPr>
            <w:tcW w:type="dxa" w:w="3331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Responsabilidad</w:t>
            </w:r>
          </w:p>
        </w:tc>
        <w:tc>
          <w:tcPr>
            <w:tcW w:type="dxa" w:w="3331"/>
            <w:shd w:fill="D9EAD3"/>
          </w:tcPr>
          <w:p>
            <w:pPr>
              <w:spacing w:after="0"/>
            </w:pPr>
            <w:r>
              <w:rPr>
                <w:rFonts w:ascii="Aptos" w:hAnsi="Aptos"/>
                <w:b/>
                <w:sz w:val="17"/>
              </w:rPr>
              <w:t>Naturaleza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scopes/.../&lt;process&gt;/README.md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Internals, enfoque, lifecycle, invariantes y frontera Atlanticus/ADA.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Fuente técnica viva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scopes/.../&lt;process&gt;/CHANGELOG.md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Versiones, fechas, cambios, bugfixes, razones y compatibilidad.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Historial autoritativo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artifacts/processes/&lt;process&gt;/README.md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Cómo configurar/ejecutar el artifact local generado.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Generado</w:t>
            </w:r>
          </w:p>
        </w:tc>
      </w:tr>
      <w:tr>
        <w:trPr>
          <w:cantSplit w:val="true"/>
        </w:trPr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deployment/processes/README.md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Sistema común de bundling, imágenes y distribución.</w:t>
            </w:r>
          </w:p>
        </w:tc>
        <w:tc>
          <w:tcPr>
            <w:tcW w:type="dxa" w:w="3331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Plataforma</w:t>
            </w:r>
          </w:p>
        </w:tc>
      </w:tr>
    </w:tbl>
    <w:p>
      <w:pPr>
        <w:pStyle w:val="Heading2"/>
      </w:pPr>
      <w:r>
        <w:t>10.3 Frontera Atlanticus / ADA</w:t>
      </w:r>
    </w:p>
    <w:p>
      <w:r>
        <w:t>La documentación técnica futura debe hacer explícita la responsabilidad de cada capa, especialmente en procesos que componen infraestructura Atlanticus con dominio ADA.</w:t>
      </w:r>
    </w:p>
    <w:p>
      <w:pPr>
        <w:pStyle w:val="IntenseQuote"/>
      </w:pPr>
      <w:r>
        <w:t>Atlanticus</w:t>
        <w:br/>
        <w:t xml:space="preserve">  infraestructura reusable, runtime, configuración, state,</w:t>
        <w:br/>
        <w:t xml:space="preserve">  conectividad, datasets, observabilidad, deployment</w:t>
        <w:br/>
        <w:br/>
        <w:t>ADA</w:t>
        <w:br/>
        <w:t xml:space="preserve">  dominio de KPI/Alarmas, contratos específicos y composición de producto</w:t>
        <w:br/>
        <w:br/>
        <w:t>Process ADA</w:t>
        <w:br/>
        <w:t xml:space="preserve">  punto explícito de composición entre ambas capas</w:t>
      </w:r>
    </w:p>
    <w:p>
      <w:pPr>
        <w:pStyle w:val="Heading1"/>
      </w:pPr>
      <w:r>
        <w:t>11. Principios congelados para este bloque</w:t>
      </w:r>
    </w:p>
    <w:p>
      <w:pPr>
        <w:pStyle w:val="ListBullet"/>
        <w:spacing w:after="0" w:before="0"/>
      </w:pPr>
      <w:r>
        <w:t>Backend únicamente hasta cerrar productización/runtime/distribución de procesos.</w:t>
      </w:r>
    </w:p>
    <w:p>
      <w:pPr>
        <w:pStyle w:val="ListBullet"/>
        <w:spacing w:after="0" w:before="0"/>
      </w:pPr>
      <w:r>
        <w:t>No crear tooling de artifacts específico para KPI ni Alarmas.</w:t>
      </w:r>
    </w:p>
    <w:p>
      <w:pPr>
        <w:pStyle w:val="ListBullet"/>
        <w:spacing w:after="0" w:before="0"/>
      </w:pPr>
      <w:r>
        <w:t>El pyproject.toml del process declara su contrato ejecutable y sus dependencias.</w:t>
      </w:r>
    </w:p>
    <w:p>
      <w:pPr>
        <w:pStyle w:val="ListBullet"/>
        <w:spacing w:after="0" w:before="0"/>
      </w:pPr>
      <w:r>
        <w:t>El bundler genérico resuelve dependencias internas transitivas con versiones exactas.</w:t>
      </w:r>
    </w:p>
    <w:p>
      <w:pPr>
        <w:pStyle w:val="ListBullet"/>
        <w:spacing w:after="0" w:before="0"/>
      </w:pPr>
      <w:r>
        <w:t>Soportar explícitamente layout clásico y layout backend; evitar discovery recursivo indiscriminado.</w:t>
      </w:r>
    </w:p>
    <w:p>
      <w:pPr>
        <w:pStyle w:val="ListBullet"/>
        <w:spacing w:after="0" w:before="0"/>
      </w:pPr>
      <w:r>
        <w:t>Artifact primero, runtime después, distribución al final.</w:t>
      </w:r>
    </w:p>
    <w:p>
      <w:pPr>
        <w:pStyle w:val="ListBullet"/>
        <w:spacing w:after="0" w:before="0"/>
      </w:pPr>
      <w:r>
        <w:t>No incluir .env real, secretos, tests, commented ni .venv en artifacts transportables.</w:t>
      </w:r>
    </w:p>
    <w:p>
      <w:pPr>
        <w:pStyle w:val="ListBullet"/>
        <w:spacing w:after="0" w:before="0"/>
      </w:pPr>
      <w:r>
        <w:t>Alarm Runtime debe reutilizar el mismo pipeline sin excepciones particulares.</w:t>
      </w:r>
    </w:p>
    <w:p>
      <w:pPr>
        <w:pStyle w:val="ListBullet"/>
        <w:spacing w:after="0" w:before="0"/>
      </w:pPr>
      <w:r>
        <w:t>ADA Command Web se aborda después para producir configuraciones válidas de Alarmas.</w:t>
      </w:r>
    </w:p>
    <w:p>
      <w:pPr>
        <w:pStyle w:val="ListBullet"/>
        <w:spacing w:after="0" w:before="0"/>
      </w:pPr>
      <w:r>
        <w:t>README, CHANGELOG y enriquecimiento de .env.detail quedan diferidos hasta contar con flujos reales estabilizados.</w:t>
      </w:r>
    </w:p>
    <w:p>
      <w:pPr>
        <w:pStyle w:val="Heading1"/>
      </w:pPr>
      <w:r>
        <w:t>12. Próximo incremento</w:t>
      </w:r>
    </w:p>
    <w:p>
      <w:pPr>
        <w:spacing w:after="60"/>
      </w:pPr>
      <w:r>
        <w:rPr>
          <w:b/>
          <w:sz w:val="22"/>
        </w:rPr>
        <w:t>R3.6M-005C.1 — Process Artifact Discovery Reconciliation</w:t>
      </w:r>
    </w:p>
    <w:p>
      <w:r>
        <w:t>Alcance inicial acordado: modificar únicamente el tooling genérico necesario para descubrir y validar procesos en ambos layouts, manteniendo compatibilidad con Operational Data y sin tocar todavía código funcional de los procesos KPI.</w:t>
      </w:r>
    </w:p>
    <w:p>
      <w:pPr>
        <w:pStyle w:val="ListBullet"/>
        <w:spacing w:after="0" w:before="0"/>
      </w:pPr>
      <w:r>
        <w:t>deployment/processes/bundle.py + espejo comentado + tests.</w:t>
      </w:r>
    </w:p>
    <w:p>
      <w:pPr>
        <w:pStyle w:val="ListBullet"/>
        <w:spacing w:after="0" w:before="0"/>
      </w:pPr>
      <w:r>
        <w:t>scripts/deployment/check.py + espejo comentado, si es necesario para eliminar hardcodes/validar el contrato genérico.</w:t>
      </w:r>
    </w:p>
    <w:p>
      <w:pPr>
        <w:pStyle w:val="ListBullet"/>
        <w:spacing w:after="0" w:before="0"/>
      </w:pPr>
      <w:r>
        <w:t>Gates de deployment y backend deben permanecer GREEN.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>Registro de decisión · 2026-09-01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5"/>
      </w:rPr>
      <w:t>ATLANTICUS · Backend Process Productization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60" w:after="100"/>
      <w:ind w:left="936" w:right="936"/>
    </w:pPr>
    <w:rPr>
      <w:rFonts w:ascii="Aptos" w:hAnsi="Aptos"/>
      <w:b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