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w:hAnsi="Aptos"/>
          <w:b/>
          <w:color w:val="245A7A"/>
          <w:sz w:val="20"/>
        </w:rPr>
        <w:t>ATLANTICUS</w:t>
      </w:r>
    </w:p>
    <w:p>
      <w:pPr>
        <w:pStyle w:val="Title"/>
      </w:pPr>
      <w:r>
        <w:t>Decisión Arquitectónica Autoritativa</w:t>
        <w:br/>
        <w:t>Tool → KPI Configuration → KPI Definition</w:t>
      </w:r>
    </w:p>
    <w:p>
      <w:r>
        <w:rPr>
          <w:rFonts w:ascii="Aptos" w:hAnsi="Aptos"/>
          <w:b/>
          <w:color w:val="5C6973"/>
          <w:sz w:val="22"/>
        </w:rPr>
        <w:t>Corrección de frontera y checkpoint previo a la continuación de CL-003</w:t>
      </w:r>
    </w:p>
    <w:p>
      <w:r>
        <w:rPr>
          <w:rFonts w:ascii="Aptos" w:hAnsi="Aptos"/>
        </w:rPr>
        <w:t>Fecha efectiva: 1 de septiembre de 2026</w:t>
      </w:r>
    </w:p>
    <w:p>
      <w:r>
        <w:rPr>
          <w:rFonts w:ascii="Aptos" w:hAnsi="Aptos"/>
        </w:rPr>
        <w:t>Ámbito: Atlanticus / ADA · Manager · Tool Configuration · KPI Configuration · KPI Definition · Inspection</w:t>
      </w:r>
    </w:p>
    <w:p/>
    <w:tbl>
      <w:tblPr>
        <w:tblW w:type="auto" w:w="0"/>
        <w:jc w:val="center"/>
        <w:tblLook w:firstColumn="1" w:firstRow="1" w:lastColumn="0" w:lastRow="0" w:noHBand="0" w:noVBand="1" w:val="04A0"/>
      </w:tblPr>
      <w:tblGrid>
        <w:gridCol w:w="9660"/>
      </w:tblGrid>
      <w:tr>
        <w:trPr>
          <w:cantSplit/>
        </w:trPr>
        <w:tc>
          <w:tcPr>
            <w:tcW w:type="dxa" w:w="9660"/>
            <w:shd w:fill="EAF1F5"/>
            <w:tcMar>
              <w:top w:w="150" w:type="dxa"/>
              <w:start w:w="170" w:type="dxa"/>
              <w:bottom w:w="150" w:type="dxa"/>
              <w:end w:w="170" w:type="dxa"/>
            </w:tcMar>
          </w:tcPr>
          <w:p>
            <w:r>
              <w:rPr>
                <w:rFonts w:ascii="Aptos" w:hAnsi="Aptos"/>
                <w:b/>
                <w:color w:val="245A7A"/>
                <w:sz w:val="18"/>
              </w:rPr>
              <w:t>AUTORIDAD</w:t>
            </w:r>
          </w:p>
          <w:p>
            <w:r>
              <w:rPr>
                <w:rFonts w:ascii="Aptos" w:hAnsi="Aptos"/>
                <w:color w:val="25313B"/>
                <w:sz w:val="18"/>
              </w:rPr>
              <w:t>Este documento es la referencia autoritativa para la frontera Tool/KPI a partir de este checkpoint. Complementa el checkpoint CL-002 GREEN, pero sustituye cualquier formulación anterior que tratara KPI Definition como la configuración operacional de KPI o que colapsara KPI Configuration y KPI Definition en un único módulo.</w:t>
            </w:r>
          </w:p>
        </w:tc>
      </w:tr>
    </w:tbl>
    <w:p/>
    <w:tbl>
      <w:tblPr>
        <w:tblW w:type="auto" w:w="0"/>
        <w:jc w:val="center"/>
        <w:tblLayout w:type="fixed"/>
        <w:tblLook w:firstColumn="1" w:firstRow="1" w:lastColumn="0" w:lastRow="0" w:noHBand="0" w:noVBand="1" w:val="04A0"/>
      </w:tblPr>
      <w:tblGrid>
        <w:gridCol w:w="2376"/>
        <w:gridCol w:w="1944"/>
        <w:gridCol w:w="6840"/>
      </w:tblGrid>
      <w:tr>
        <w:trPr>
          <w:cantSplit/>
        </w:trPr>
        <w:tc>
          <w:tcPr>
            <w:tcW w:type="dxa" w:w="3220"/>
            <w:vAlign w:val="center"/>
            <w:tcMar>
              <w:top w:w="90" w:type="dxa"/>
              <w:start w:w="110" w:type="dxa"/>
              <w:bottom w:w="90" w:type="dxa"/>
              <w:end w:w="110" w:type="dxa"/>
            </w:tcMar>
            <w:shd w:fill="EEF6F1"/>
          </w:tcPr>
          <w:p>
            <w:r>
              <w:rPr>
                <w:rFonts w:ascii="Aptos" w:hAnsi="Aptos"/>
                <w:b/>
                <w:color w:val="25313B"/>
                <w:sz w:val="17"/>
              </w:rPr>
              <w:t>Estado base</w:t>
            </w:r>
          </w:p>
        </w:tc>
        <w:tc>
          <w:tcPr>
            <w:tcW w:type="dxa" w:w="3220"/>
            <w:vAlign w:val="center"/>
            <w:tcMar>
              <w:top w:w="90" w:type="dxa"/>
              <w:start w:w="110" w:type="dxa"/>
              <w:bottom w:w="90" w:type="dxa"/>
              <w:end w:w="110" w:type="dxa"/>
            </w:tcMar>
            <w:shd w:fill="EEF6F1"/>
          </w:tcPr>
          <w:p>
            <w:r>
              <w:rPr>
                <w:rFonts w:ascii="Aptos" w:hAnsi="Aptos"/>
                <w:b/>
                <w:color w:val="2E6B52"/>
                <w:sz w:val="17"/>
              </w:rPr>
              <w:t>CL-003A GREEN</w:t>
            </w:r>
          </w:p>
        </w:tc>
        <w:tc>
          <w:tcPr>
            <w:tcW w:type="dxa" w:w="3220"/>
            <w:vAlign w:val="center"/>
            <w:tcMar>
              <w:top w:w="90" w:type="dxa"/>
              <w:start w:w="110" w:type="dxa"/>
              <w:bottom w:w="90" w:type="dxa"/>
              <w:end w:w="110" w:type="dxa"/>
            </w:tcMar>
            <w:shd w:fill="EEF6F1"/>
          </w:tcPr>
          <w:p>
            <w:r>
              <w:rPr>
                <w:rFonts w:ascii="Aptos" w:hAnsi="Aptos"/>
                <w:b w:val="0"/>
                <w:color w:val="25313B"/>
                <w:sz w:val="17"/>
              </w:rPr>
              <w:t>Host /manager con Users y Navigation validado.</w:t>
            </w:r>
          </w:p>
        </w:tc>
      </w:tr>
    </w:tbl>
    <w:p>
      <w:pPr>
        <w:spacing w:after="20"/>
      </w:pPr>
    </w:p>
    <w:tbl>
      <w:tblPr>
        <w:tblW w:type="auto" w:w="0"/>
        <w:jc w:val="center"/>
        <w:tblLayout w:type="fixed"/>
        <w:tblLook w:firstColumn="1" w:firstRow="1" w:lastColumn="0" w:lastRow="0" w:noHBand="0" w:noVBand="1" w:val="04A0"/>
      </w:tblPr>
      <w:tblGrid>
        <w:gridCol w:w="2376"/>
        <w:gridCol w:w="1944"/>
        <w:gridCol w:w="6840"/>
      </w:tblGrid>
      <w:tr>
        <w:trPr>
          <w:cantSplit/>
        </w:trPr>
        <w:tc>
          <w:tcPr>
            <w:tcW w:type="dxa" w:w="3220"/>
            <w:vAlign w:val="center"/>
            <w:tcMar>
              <w:top w:w="90" w:type="dxa"/>
              <w:start w:w="110" w:type="dxa"/>
              <w:bottom w:w="90" w:type="dxa"/>
              <w:end w:w="110" w:type="dxa"/>
            </w:tcMar>
            <w:shd w:fill="FFF7E8"/>
          </w:tcPr>
          <w:p>
            <w:r>
              <w:rPr>
                <w:rFonts w:ascii="Aptos" w:hAnsi="Aptos"/>
                <w:b/>
                <w:color w:val="25313B"/>
                <w:sz w:val="17"/>
              </w:rPr>
              <w:t>Estado actual</w:t>
            </w:r>
          </w:p>
        </w:tc>
        <w:tc>
          <w:tcPr>
            <w:tcW w:type="dxa" w:w="3220"/>
            <w:vAlign w:val="center"/>
            <w:tcMar>
              <w:top w:w="90" w:type="dxa"/>
              <w:start w:w="110" w:type="dxa"/>
              <w:bottom w:w="90" w:type="dxa"/>
              <w:end w:w="110" w:type="dxa"/>
            </w:tcMar>
            <w:shd w:fill="FFF7E8"/>
          </w:tcPr>
          <w:p>
            <w:r>
              <w:rPr>
                <w:rFonts w:ascii="Aptos" w:hAnsi="Aptos"/>
                <w:b/>
                <w:color w:val="8B641C"/>
                <w:sz w:val="17"/>
              </w:rPr>
              <w:t>CL-003B APLICADO</w:t>
            </w:r>
          </w:p>
        </w:tc>
        <w:tc>
          <w:tcPr>
            <w:tcW w:type="dxa" w:w="3220"/>
            <w:vAlign w:val="center"/>
            <w:tcMar>
              <w:top w:w="90" w:type="dxa"/>
              <w:start w:w="110" w:type="dxa"/>
              <w:bottom w:w="90" w:type="dxa"/>
              <w:end w:w="110" w:type="dxa"/>
            </w:tcMar>
            <w:shd w:fill="FFF7E8"/>
          </w:tcPr>
          <w:p>
            <w:r>
              <w:rPr>
                <w:rFonts w:ascii="Aptos" w:hAnsi="Aptos"/>
                <w:b w:val="0"/>
                <w:color w:val="25313B"/>
                <w:sz w:val="17"/>
              </w:rPr>
              <w:t>Candidate r1 aplicado localmente. En esta conversación aún no se ha reportado el gate GREEN.</w:t>
            </w:r>
          </w:p>
        </w:tc>
      </w:tr>
    </w:tbl>
    <w:p>
      <w:pPr>
        <w:spacing w:after="20"/>
      </w:pPr>
    </w:p>
    <w:tbl>
      <w:tblPr>
        <w:tblW w:type="auto" w:w="0"/>
        <w:jc w:val="center"/>
        <w:tblLayout w:type="fixed"/>
        <w:tblLook w:firstColumn="1" w:firstRow="1" w:lastColumn="0" w:lastRow="0" w:noHBand="0" w:noVBand="1" w:val="04A0"/>
      </w:tblPr>
      <w:tblGrid>
        <w:gridCol w:w="2376"/>
        <w:gridCol w:w="1944"/>
        <w:gridCol w:w="6840"/>
      </w:tblGrid>
      <w:tr>
        <w:trPr>
          <w:cantSplit/>
        </w:trPr>
        <w:tc>
          <w:tcPr>
            <w:tcW w:type="dxa" w:w="3220"/>
            <w:vAlign w:val="center"/>
            <w:tcMar>
              <w:top w:w="90" w:type="dxa"/>
              <w:start w:w="110" w:type="dxa"/>
              <w:bottom w:w="90" w:type="dxa"/>
              <w:end w:w="110" w:type="dxa"/>
            </w:tcMar>
            <w:shd w:fill="FBEFEF"/>
          </w:tcPr>
          <w:p>
            <w:r>
              <w:rPr>
                <w:rFonts w:ascii="Aptos" w:hAnsi="Aptos"/>
                <w:b/>
                <w:color w:val="25313B"/>
                <w:sz w:val="17"/>
              </w:rPr>
              <w:t>Siguiente autoridad</w:t>
            </w:r>
          </w:p>
        </w:tc>
        <w:tc>
          <w:tcPr>
            <w:tcW w:type="dxa" w:w="3220"/>
            <w:vAlign w:val="center"/>
            <w:tcMar>
              <w:top w:w="90" w:type="dxa"/>
              <w:start w:w="110" w:type="dxa"/>
              <w:bottom w:w="90" w:type="dxa"/>
              <w:end w:w="110" w:type="dxa"/>
            </w:tcMar>
            <w:shd w:fill="FBEFEF"/>
          </w:tcPr>
          <w:p>
            <w:r>
              <w:rPr>
                <w:rFonts w:ascii="Aptos" w:hAnsi="Aptos"/>
                <w:b/>
                <w:color w:val="8A3A3A"/>
                <w:sz w:val="17"/>
              </w:rPr>
              <w:t>NO CONTINUAR A KPI</w:t>
            </w:r>
          </w:p>
        </w:tc>
        <w:tc>
          <w:tcPr>
            <w:tcW w:type="dxa" w:w="3220"/>
            <w:vAlign w:val="center"/>
            <w:tcMar>
              <w:top w:w="90" w:type="dxa"/>
              <w:start w:w="110" w:type="dxa"/>
              <w:bottom w:w="90" w:type="dxa"/>
              <w:end w:w="110" w:type="dxa"/>
            </w:tcMar>
            <w:shd w:fill="FBEFEF"/>
          </w:tcPr>
          <w:p>
            <w:r>
              <w:rPr>
                <w:rFonts w:ascii="Aptos" w:hAnsi="Aptos"/>
                <w:b w:val="0"/>
                <w:color w:val="25313B"/>
                <w:sz w:val="17"/>
              </w:rPr>
              <w:t>Primero cerrar el gate de CL-003B y completar Tool Structure antes de construir KPI Configuration.</w:t>
            </w:r>
          </w:p>
        </w:tc>
      </w:tr>
    </w:tbl>
    <w:p>
      <w:pPr>
        <w:spacing w:after="20"/>
      </w:pPr>
    </w:p>
    <w:p>
      <w:r>
        <w:br w:type="page"/>
      </w:r>
    </w:p>
    <w:p>
      <w:pPr>
        <w:pStyle w:val="Heading1"/>
      </w:pPr>
      <w:r>
        <w:t>1. Propósito y alcance de esta decisión</w:t>
      </w:r>
    </w:p>
    <w:p>
      <w:r>
        <w:rPr>
          <w:rFonts w:ascii="Aptos" w:hAnsi="Aptos"/>
        </w:rPr>
        <w:t>Durante CL-003 se detectó que se estaban usando como equivalentes dos conceptos distintos: KPI Definition y KPI Configuration. La corrección autoritativa establece una cadena de autoridad unidireccional y explícita: Tool Configuration alimenta KPI Configuration; KPI Configuration alimenta KPI Definition; y KPI Definition alimenta la experiencia de inspección del KPI.</w:t>
      </w:r>
    </w:p>
    <w:p>
      <w:pPr>
        <w:pStyle w:val="CodeBlock"/>
        <w:shd w:fill="F3F5F7"/>
      </w:pPr>
      <w:r>
        <w:rPr>
          <w:rFonts w:ascii="Liberation Mono" w:hAnsi="Liberation Mono"/>
          <w:color w:val="25313B"/>
          <w:sz w:val="16"/>
        </w:rPr>
        <w:t>Tool Configuration</w:t>
        <w:br/>
        <w:t xml:space="preserve">        ↓</w:t>
        <w:br/>
        <w:t>Tool Projection / destinos válidos</w:t>
        <w:br/>
        <w:t xml:space="preserve">        ↓</w:t>
        <w:br/>
        <w:t>KPI Configuration</w:t>
        <w:br/>
        <w:t xml:space="preserve">        ↓</w:t>
        <w:br/>
        <w:t>KPI Configuration Projection / catálogo de KPI</w:t>
        <w:br/>
        <w:t xml:space="preserve">        ↓</w:t>
        <w:br/>
        <w:t>KPI Definition</w:t>
        <w:br/>
        <w:t xml:space="preserve">        ↓</w:t>
        <w:br/>
        <w:t>KPI Inspection / Bottom Offcanvas</w:t>
      </w:r>
    </w:p>
    <w:p>
      <w:r>
        <w:rPr>
          <w:rFonts w:ascii="Aptos" w:hAnsi="Aptos"/>
        </w:rPr>
        <w:t>Esta jerarquía evita que una capa inferior invente identidades que no existen aguas arriba y permite distinguir con precisión entre un KPI inexistente, un KPI configurado sin definición y una definición rota.</w:t>
      </w:r>
    </w:p>
    <w:p>
      <w:pPr>
        <w:pStyle w:val="Heading1"/>
      </w:pPr>
      <w:r>
        <w:t>2. Qué queda sustituido y qué permanece válido</w:t>
      </w:r>
    </w:p>
    <w:tbl>
      <w:tblPr>
        <w:tblW w:type="auto" w:w="0"/>
        <w:jc w:val="center"/>
        <w:tblLayout w:type="fixed"/>
        <w:tblLook w:firstColumn="1" w:firstRow="1" w:lastColumn="0" w:lastRow="0" w:noHBand="0" w:noVBand="1" w:val="04A0"/>
      </w:tblPr>
      <w:tblGrid>
        <w:gridCol w:w="3220"/>
        <w:gridCol w:w="3220"/>
        <w:gridCol w:w="3220"/>
      </w:tblGrid>
      <w:tr>
        <w:trPr>
          <w:tblHeader w:val="true"/>
          <w:cantSplit/>
        </w:trPr>
        <w:tc>
          <w:tcPr>
            <w:tcW w:type="dxa" w:w="3672"/>
            <w:shd w:fill="15324A"/>
            <w:tcMar>
              <w:top w:w="90" w:type="dxa"/>
              <w:start w:w="110" w:type="dxa"/>
              <w:bottom w:w="90" w:type="dxa"/>
              <w:end w:w="110" w:type="dxa"/>
            </w:tcMar>
          </w:tcPr>
          <w:p>
            <w:r>
              <w:rPr>
                <w:rFonts w:ascii="Aptos" w:hAnsi="Aptos"/>
                <w:b/>
                <w:color w:val="FFFFFF"/>
                <w:sz w:val="16"/>
              </w:rPr>
              <w:t>Decisión / elemento</w:t>
            </w:r>
          </w:p>
        </w:tc>
        <w:tc>
          <w:tcPr>
            <w:tcW w:type="dxa" w:w="1728"/>
            <w:shd w:fill="15324A"/>
            <w:tcMar>
              <w:top w:w="90" w:type="dxa"/>
              <w:start w:w="110" w:type="dxa"/>
              <w:bottom w:w="90" w:type="dxa"/>
              <w:end w:w="110" w:type="dxa"/>
            </w:tcMar>
          </w:tcPr>
          <w:p>
            <w:r>
              <w:rPr>
                <w:rFonts w:ascii="Aptos" w:hAnsi="Aptos"/>
                <w:b/>
                <w:color w:val="FFFFFF"/>
                <w:sz w:val="16"/>
              </w:rPr>
              <w:t>Estado</w:t>
            </w:r>
          </w:p>
        </w:tc>
        <w:tc>
          <w:tcPr>
            <w:tcW w:type="dxa" w:w="5616"/>
            <w:shd w:fill="15324A"/>
            <w:tcMar>
              <w:top w:w="90" w:type="dxa"/>
              <w:start w:w="110" w:type="dxa"/>
              <w:bottom w:w="90" w:type="dxa"/>
              <w:end w:w="110" w:type="dxa"/>
            </w:tcMar>
          </w:tcPr>
          <w:p>
            <w:r>
              <w:rPr>
                <w:rFonts w:ascii="Aptos" w:hAnsi="Aptos"/>
                <w:b/>
                <w:color w:val="FFFFFF"/>
                <w:sz w:val="16"/>
              </w:rPr>
              <w:t>Autoridad actual</w:t>
            </w:r>
          </w:p>
        </w:tc>
      </w:tr>
      <w:tr>
        <w:trPr>
          <w:cantSplit/>
        </w:trPr>
        <w:tc>
          <w:tcPr>
            <w:tcW w:type="dxa" w:w="3672"/>
            <w:tcMar>
              <w:top w:w="90" w:type="dxa"/>
              <w:start w:w="110" w:type="dxa"/>
              <w:bottom w:w="90" w:type="dxa"/>
              <w:end w:w="110" w:type="dxa"/>
            </w:tcMar>
            <w:vAlign w:val="top"/>
            <w:shd w:fill="F8FAFB"/>
          </w:tcPr>
          <w:p>
            <w:pPr>
              <w:spacing w:after="0"/>
            </w:pPr>
            <w:r>
              <w:rPr>
                <w:rFonts w:ascii="Aptos" w:hAnsi="Aptos"/>
                <w:color w:val="25313B"/>
                <w:sz w:val="16"/>
              </w:rPr>
              <w:t>“KPI” como un único cuarto dominio del Manager</w:t>
            </w:r>
          </w:p>
        </w:tc>
        <w:tc>
          <w:tcPr>
            <w:tcW w:type="dxa" w:w="1728"/>
            <w:tcMar>
              <w:top w:w="90" w:type="dxa"/>
              <w:start w:w="110" w:type="dxa"/>
              <w:bottom w:w="90" w:type="dxa"/>
              <w:end w:w="110" w:type="dxa"/>
            </w:tcMar>
            <w:vAlign w:val="top"/>
            <w:shd w:fill="F8FAFB"/>
          </w:tcPr>
          <w:p>
            <w:pPr>
              <w:spacing w:after="0"/>
            </w:pPr>
            <w:r>
              <w:rPr>
                <w:rFonts w:ascii="Aptos" w:hAnsi="Aptos"/>
                <w:color w:val="25313B"/>
                <w:sz w:val="16"/>
              </w:rPr>
              <w:t>SUSTITUIDA</w:t>
            </w:r>
          </w:p>
        </w:tc>
        <w:tc>
          <w:tcPr>
            <w:tcW w:type="dxa" w:w="5616"/>
            <w:tcMar>
              <w:top w:w="90" w:type="dxa"/>
              <w:start w:w="110" w:type="dxa"/>
              <w:bottom w:w="90" w:type="dxa"/>
              <w:end w:w="110" w:type="dxa"/>
            </w:tcMar>
            <w:vAlign w:val="top"/>
            <w:shd w:fill="F8FAFB"/>
          </w:tcPr>
          <w:p>
            <w:pPr>
              <w:spacing w:after="0"/>
            </w:pPr>
            <w:r>
              <w:rPr>
                <w:rFonts w:ascii="Aptos" w:hAnsi="Aptos"/>
                <w:color w:val="25313B"/>
                <w:sz w:val="16"/>
              </w:rPr>
              <w:t>Separar KPI Configuration y KPI Definition.</w:t>
            </w:r>
          </w:p>
        </w:tc>
      </w:tr>
      <w:tr>
        <w:trPr>
          <w:cantSplit/>
        </w:trPr>
        <w:tc>
          <w:tcPr>
            <w:tcW w:type="dxa" w:w="3672"/>
            <w:tcMar>
              <w:top w:w="90" w:type="dxa"/>
              <w:start w:w="110" w:type="dxa"/>
              <w:bottom w:w="90" w:type="dxa"/>
              <w:end w:w="110" w:type="dxa"/>
            </w:tcMar>
            <w:vAlign w:val="top"/>
          </w:tcPr>
          <w:p>
            <w:pPr>
              <w:spacing w:after="0"/>
            </w:pPr>
            <w:r>
              <w:rPr>
                <w:rFonts w:ascii="Aptos" w:hAnsi="Aptos"/>
                <w:color w:val="25313B"/>
                <w:sz w:val="16"/>
              </w:rPr>
              <w:t>KPI Definition como configuración operacional del KPI</w:t>
            </w:r>
          </w:p>
        </w:tc>
        <w:tc>
          <w:tcPr>
            <w:tcW w:type="dxa" w:w="1728"/>
            <w:tcMar>
              <w:top w:w="90" w:type="dxa"/>
              <w:start w:w="110" w:type="dxa"/>
              <w:bottom w:w="90" w:type="dxa"/>
              <w:end w:w="110" w:type="dxa"/>
            </w:tcMar>
            <w:vAlign w:val="top"/>
          </w:tcPr>
          <w:p>
            <w:pPr>
              <w:spacing w:after="0"/>
            </w:pPr>
            <w:r>
              <w:rPr>
                <w:rFonts w:ascii="Aptos" w:hAnsi="Aptos"/>
                <w:color w:val="25313B"/>
                <w:sz w:val="16"/>
              </w:rPr>
              <w:t>SUSTITUIDA</w:t>
            </w:r>
          </w:p>
        </w:tc>
        <w:tc>
          <w:tcPr>
            <w:tcW w:type="dxa" w:w="5616"/>
            <w:tcMar>
              <w:top w:w="90" w:type="dxa"/>
              <w:start w:w="110" w:type="dxa"/>
              <w:bottom w:w="90" w:type="dxa"/>
              <w:end w:w="110" w:type="dxa"/>
            </w:tcMar>
            <w:vAlign w:val="top"/>
          </w:tcPr>
          <w:p>
            <w:pPr>
              <w:spacing w:after="0"/>
            </w:pPr>
            <w:r>
              <w:rPr>
                <w:rFonts w:ascii="Aptos" w:hAnsi="Aptos"/>
                <w:color w:val="25313B"/>
                <w:sz w:val="16"/>
              </w:rPr>
              <w:t>KPI Definition es descriptivo/semántico y depende de KPI Configuration.</w:t>
            </w:r>
          </w:p>
        </w:tc>
      </w:tr>
      <w:tr>
        <w:trPr>
          <w:cantSplit/>
        </w:trPr>
        <w:tc>
          <w:tcPr>
            <w:tcW w:type="dxa" w:w="3672"/>
            <w:tcMar>
              <w:top w:w="90" w:type="dxa"/>
              <w:start w:w="110" w:type="dxa"/>
              <w:bottom w:w="90" w:type="dxa"/>
              <w:end w:w="110" w:type="dxa"/>
            </w:tcMar>
            <w:vAlign w:val="top"/>
            <w:shd w:fill="F8FAFB"/>
          </w:tcPr>
          <w:p>
            <w:pPr>
              <w:spacing w:after="0"/>
            </w:pPr>
            <w:r>
              <w:rPr>
                <w:rFonts w:ascii="Aptos" w:hAnsi="Aptos"/>
                <w:color w:val="25313B"/>
                <w:sz w:val="16"/>
              </w:rPr>
              <w:t>CL-003C = KPI Definition Web Surface como siguiente paso directo</w:t>
            </w:r>
          </w:p>
        </w:tc>
        <w:tc>
          <w:tcPr>
            <w:tcW w:type="dxa" w:w="1728"/>
            <w:tcMar>
              <w:top w:w="90" w:type="dxa"/>
              <w:start w:w="110" w:type="dxa"/>
              <w:bottom w:w="90" w:type="dxa"/>
              <w:end w:w="110" w:type="dxa"/>
            </w:tcMar>
            <w:vAlign w:val="top"/>
            <w:shd w:fill="F8FAFB"/>
          </w:tcPr>
          <w:p>
            <w:pPr>
              <w:spacing w:after="0"/>
            </w:pPr>
            <w:r>
              <w:rPr>
                <w:rFonts w:ascii="Aptos" w:hAnsi="Aptos"/>
                <w:color w:val="25313B"/>
                <w:sz w:val="16"/>
              </w:rPr>
              <w:t>SUSTITUIDA</w:t>
            </w:r>
          </w:p>
        </w:tc>
        <w:tc>
          <w:tcPr>
            <w:tcW w:type="dxa" w:w="5616"/>
            <w:tcMar>
              <w:top w:w="90" w:type="dxa"/>
              <w:start w:w="110" w:type="dxa"/>
              <w:bottom w:w="90" w:type="dxa"/>
              <w:end w:w="110" w:type="dxa"/>
            </w:tcMar>
            <w:vAlign w:val="top"/>
            <w:shd w:fill="F8FAFB"/>
          </w:tcPr>
          <w:p>
            <w:pPr>
              <w:spacing w:after="0"/>
            </w:pPr>
            <w:r>
              <w:rPr>
                <w:rFonts w:ascii="Aptos" w:hAnsi="Aptos"/>
                <w:color w:val="25313B"/>
                <w:sz w:val="16"/>
              </w:rPr>
              <w:t>Primero completar Tool; después crear KPI Configuration.</w:t>
            </w:r>
          </w:p>
        </w:tc>
      </w:tr>
      <w:tr>
        <w:trPr>
          <w:cantSplit/>
        </w:trPr>
        <w:tc>
          <w:tcPr>
            <w:tcW w:type="dxa" w:w="3672"/>
            <w:tcMar>
              <w:top w:w="90" w:type="dxa"/>
              <w:start w:w="110" w:type="dxa"/>
              <w:bottom w:w="90" w:type="dxa"/>
              <w:end w:w="110" w:type="dxa"/>
            </w:tcMar>
            <w:vAlign w:val="top"/>
          </w:tcPr>
          <w:p>
            <w:pPr>
              <w:spacing w:after="0"/>
            </w:pPr>
            <w:r>
              <w:rPr>
                <w:rFonts w:ascii="Aptos" w:hAnsi="Aptos"/>
                <w:color w:val="25313B"/>
                <w:sz w:val="16"/>
              </w:rPr>
              <w:t>Selector de múltiples Tools / default_tool</w:t>
            </w:r>
          </w:p>
        </w:tc>
        <w:tc>
          <w:tcPr>
            <w:tcW w:type="dxa" w:w="1728"/>
            <w:tcMar>
              <w:top w:w="90" w:type="dxa"/>
              <w:start w:w="110" w:type="dxa"/>
              <w:bottom w:w="90" w:type="dxa"/>
              <w:end w:w="110" w:type="dxa"/>
            </w:tcMar>
            <w:vAlign w:val="top"/>
          </w:tcPr>
          <w:p>
            <w:pPr>
              <w:spacing w:after="0"/>
            </w:pPr>
            <w:r>
              <w:rPr>
                <w:rFonts w:ascii="Aptos" w:hAnsi="Aptos"/>
                <w:color w:val="25313B"/>
                <w:sz w:val="16"/>
              </w:rPr>
              <w:t>RECHAZADA</w:t>
            </w:r>
          </w:p>
        </w:tc>
        <w:tc>
          <w:tcPr>
            <w:tcW w:type="dxa" w:w="5616"/>
            <w:tcMar>
              <w:top w:w="90" w:type="dxa"/>
              <w:start w:w="110" w:type="dxa"/>
              <w:bottom w:w="90" w:type="dxa"/>
              <w:end w:w="110" w:type="dxa"/>
            </w:tcMar>
            <w:vAlign w:val="top"/>
          </w:tcPr>
          <w:p>
            <w:pPr>
              <w:spacing w:after="0"/>
            </w:pPr>
            <w:r>
              <w:rPr>
                <w:rFonts w:ascii="Aptos" w:hAnsi="Aptos"/>
                <w:color w:val="25313B"/>
                <w:sz w:val="16"/>
              </w:rPr>
              <w:t>Cada aplicación administra su única ToolConfiguration.</w:t>
            </w:r>
          </w:p>
        </w:tc>
      </w:tr>
      <w:tr>
        <w:trPr>
          <w:cantSplit/>
        </w:trPr>
        <w:tc>
          <w:tcPr>
            <w:tcW w:type="dxa" w:w="3672"/>
            <w:tcMar>
              <w:top w:w="90" w:type="dxa"/>
              <w:start w:w="110" w:type="dxa"/>
              <w:bottom w:w="90" w:type="dxa"/>
              <w:end w:w="110" w:type="dxa"/>
            </w:tcMar>
            <w:vAlign w:val="top"/>
            <w:shd w:fill="F8FAFB"/>
          </w:tcPr>
          <w:p>
            <w:pPr>
              <w:spacing w:after="0"/>
            </w:pPr>
            <w:r>
              <w:rPr>
                <w:rFonts w:ascii="Aptos" w:hAnsi="Aptos"/>
                <w:color w:val="25313B"/>
                <w:sz w:val="16"/>
              </w:rPr>
              <w:t>Lifecycle e History de KPI Definition</w:t>
            </w:r>
          </w:p>
        </w:tc>
        <w:tc>
          <w:tcPr>
            <w:tcW w:type="dxa" w:w="1728"/>
            <w:tcMar>
              <w:top w:w="90" w:type="dxa"/>
              <w:start w:w="110" w:type="dxa"/>
              <w:bottom w:w="90" w:type="dxa"/>
              <w:end w:w="110" w:type="dxa"/>
            </w:tcMar>
            <w:vAlign w:val="top"/>
            <w:shd w:fill="F8FAFB"/>
          </w:tcPr>
          <w:p>
            <w:pPr>
              <w:spacing w:after="0"/>
            </w:pPr>
            <w:r>
              <w:rPr>
                <w:rFonts w:ascii="Aptos" w:hAnsi="Aptos"/>
                <w:color w:val="25313B"/>
                <w:sz w:val="16"/>
              </w:rPr>
              <w:t>VÁLIDOS</w:t>
            </w:r>
          </w:p>
        </w:tc>
        <w:tc>
          <w:tcPr>
            <w:tcW w:type="dxa" w:w="5616"/>
            <w:tcMar>
              <w:top w:w="90" w:type="dxa"/>
              <w:start w:w="110" w:type="dxa"/>
              <w:bottom w:w="90" w:type="dxa"/>
              <w:end w:w="110" w:type="dxa"/>
            </w:tcMar>
            <w:vAlign w:val="top"/>
            <w:shd w:fill="F8FAFB"/>
          </w:tcPr>
          <w:p>
            <w:pPr>
              <w:spacing w:after="0"/>
            </w:pPr>
            <w:r>
              <w:rPr>
                <w:rFonts w:ascii="Aptos" w:hAnsi="Aptos"/>
                <w:color w:val="25313B"/>
                <w:sz w:val="16"/>
              </w:rPr>
              <w:t>Se conservan; deben endurecerse con autoridad upstream.</w:t>
            </w:r>
          </w:p>
        </w:tc>
      </w:tr>
      <w:tr>
        <w:trPr>
          <w:cantSplit/>
        </w:trPr>
        <w:tc>
          <w:tcPr>
            <w:tcW w:type="dxa" w:w="3672"/>
            <w:tcMar>
              <w:top w:w="90" w:type="dxa"/>
              <w:start w:w="110" w:type="dxa"/>
              <w:bottom w:w="90" w:type="dxa"/>
              <w:end w:w="110" w:type="dxa"/>
            </w:tcMar>
            <w:vAlign w:val="top"/>
          </w:tcPr>
          <w:p>
            <w:pPr>
              <w:spacing w:after="0"/>
            </w:pPr>
            <w:r>
              <w:rPr>
                <w:rFonts w:ascii="Aptos" w:hAnsi="Aptos"/>
                <w:color w:val="25313B"/>
                <w:sz w:val="16"/>
              </w:rPr>
              <w:t>Tool Lifecycle e History por ToolConfiguration individual</w:t>
            </w:r>
          </w:p>
        </w:tc>
        <w:tc>
          <w:tcPr>
            <w:tcW w:type="dxa" w:w="1728"/>
            <w:tcMar>
              <w:top w:w="90" w:type="dxa"/>
              <w:start w:w="110" w:type="dxa"/>
              <w:bottom w:w="90" w:type="dxa"/>
              <w:end w:w="110" w:type="dxa"/>
            </w:tcMar>
            <w:vAlign w:val="top"/>
          </w:tcPr>
          <w:p>
            <w:pPr>
              <w:spacing w:after="0"/>
            </w:pPr>
            <w:r>
              <w:rPr>
                <w:rFonts w:ascii="Aptos" w:hAnsi="Aptos"/>
                <w:color w:val="25313B"/>
                <w:sz w:val="16"/>
              </w:rPr>
              <w:t>VÁLIDOS</w:t>
            </w:r>
          </w:p>
        </w:tc>
        <w:tc>
          <w:tcPr>
            <w:tcW w:type="dxa" w:w="5616"/>
            <w:tcMar>
              <w:top w:w="90" w:type="dxa"/>
              <w:start w:w="110" w:type="dxa"/>
              <w:bottom w:w="90" w:type="dxa"/>
              <w:end w:w="110" w:type="dxa"/>
            </w:tcMar>
            <w:vAlign w:val="top"/>
          </w:tcPr>
          <w:p>
            <w:pPr>
              <w:spacing w:after="0"/>
            </w:pPr>
            <w:r>
              <w:rPr>
                <w:rFonts w:ascii="Aptos" w:hAnsi="Aptos"/>
                <w:color w:val="25313B"/>
                <w:sz w:val="16"/>
              </w:rPr>
              <w:t>Es el contrato correcto para la Tool de la aplicación.</w:t>
            </w:r>
          </w:p>
        </w:tc>
      </w:tr>
      <w:tr>
        <w:trPr>
          <w:cantSplit/>
        </w:trPr>
        <w:tc>
          <w:tcPr>
            <w:tcW w:type="dxa" w:w="3672"/>
            <w:tcMar>
              <w:top w:w="90" w:type="dxa"/>
              <w:start w:w="110" w:type="dxa"/>
              <w:bottom w:w="90" w:type="dxa"/>
              <w:end w:w="110" w:type="dxa"/>
            </w:tcMar>
            <w:vAlign w:val="top"/>
            <w:shd w:fill="F8FAFB"/>
          </w:tcPr>
          <w:p>
            <w:pPr>
              <w:spacing w:after="0"/>
            </w:pPr>
            <w:r>
              <w:rPr>
                <w:rFonts w:ascii="Aptos" w:hAnsi="Aptos"/>
                <w:color w:val="25313B"/>
                <w:sz w:val="16"/>
              </w:rPr>
              <w:t>KpiDefinitionManagerWorkflowAdapter</w:t>
            </w:r>
          </w:p>
        </w:tc>
        <w:tc>
          <w:tcPr>
            <w:tcW w:type="dxa" w:w="1728"/>
            <w:tcMar>
              <w:top w:w="90" w:type="dxa"/>
              <w:start w:w="110" w:type="dxa"/>
              <w:bottom w:w="90" w:type="dxa"/>
              <w:end w:w="110" w:type="dxa"/>
            </w:tcMar>
            <w:vAlign w:val="top"/>
            <w:shd w:fill="F8FAFB"/>
          </w:tcPr>
          <w:p>
            <w:pPr>
              <w:spacing w:after="0"/>
            </w:pPr>
            <w:r>
              <w:rPr>
                <w:rFonts w:ascii="Aptos" w:hAnsi="Aptos"/>
                <w:color w:val="25313B"/>
                <w:sz w:val="16"/>
              </w:rPr>
              <w:t>VÁLIDO PERO REUBICADO</w:t>
            </w:r>
          </w:p>
        </w:tc>
        <w:tc>
          <w:tcPr>
            <w:tcW w:type="dxa" w:w="5616"/>
            <w:tcMar>
              <w:top w:w="90" w:type="dxa"/>
              <w:start w:w="110" w:type="dxa"/>
              <w:bottom w:w="90" w:type="dxa"/>
              <w:end w:w="110" w:type="dxa"/>
            </w:tcMar>
            <w:vAlign w:val="top"/>
            <w:shd w:fill="F8FAFB"/>
          </w:tcPr>
          <w:p>
            <w:pPr>
              <w:spacing w:after="0"/>
            </w:pPr>
            <w:r>
              <w:rPr>
                <w:rFonts w:ascii="Aptos" w:hAnsi="Aptos"/>
                <w:color w:val="25313B"/>
                <w:sz w:val="16"/>
              </w:rPr>
              <w:t>Sigue sirviendo para Definition; no sustituye el futuro adapter de KPI Configuration.</w:t>
            </w:r>
          </w:p>
        </w:tc>
      </w:tr>
      <w:tr>
        <w:trPr>
          <w:cantSplit/>
        </w:trPr>
        <w:tc>
          <w:tcPr>
            <w:tcW w:type="dxa" w:w="3672"/>
            <w:tcMar>
              <w:top w:w="90" w:type="dxa"/>
              <w:start w:w="110" w:type="dxa"/>
              <w:bottom w:w="90" w:type="dxa"/>
              <w:end w:w="110" w:type="dxa"/>
            </w:tcMar>
            <w:vAlign w:val="top"/>
          </w:tcPr>
          <w:p>
            <w:pPr>
              <w:spacing w:after="0"/>
            </w:pPr>
            <w:r>
              <w:rPr>
                <w:rFonts w:ascii="Aptos" w:hAnsi="Aptos"/>
                <w:color w:val="25313B"/>
                <w:sz w:val="16"/>
              </w:rPr>
              <w:t>Concepto legacy de destinos derivados de Tool Projection</w:t>
            </w:r>
          </w:p>
        </w:tc>
        <w:tc>
          <w:tcPr>
            <w:tcW w:type="dxa" w:w="1728"/>
            <w:tcMar>
              <w:top w:w="90" w:type="dxa"/>
              <w:start w:w="110" w:type="dxa"/>
              <w:bottom w:w="90" w:type="dxa"/>
              <w:end w:w="110" w:type="dxa"/>
            </w:tcMar>
            <w:vAlign w:val="top"/>
          </w:tcPr>
          <w:p>
            <w:pPr>
              <w:spacing w:after="0"/>
            </w:pPr>
            <w:r>
              <w:rPr>
                <w:rFonts w:ascii="Aptos" w:hAnsi="Aptos"/>
                <w:color w:val="25313B"/>
                <w:sz w:val="16"/>
              </w:rPr>
              <w:t>PRECEDENTE ÚTIL</w:t>
            </w:r>
          </w:p>
        </w:tc>
        <w:tc>
          <w:tcPr>
            <w:tcW w:type="dxa" w:w="5616"/>
            <w:tcMar>
              <w:top w:w="90" w:type="dxa"/>
              <w:start w:w="110" w:type="dxa"/>
              <w:bottom w:w="90" w:type="dxa"/>
              <w:end w:w="110" w:type="dxa"/>
            </w:tcMar>
            <w:vAlign w:val="top"/>
          </w:tcPr>
          <w:p>
            <w:pPr>
              <w:spacing w:after="0"/>
            </w:pPr>
            <w:r>
              <w:rPr>
                <w:rFonts w:ascii="Aptos" w:hAnsi="Aptos"/>
                <w:color w:val="25313B"/>
                <w:sz w:val="16"/>
              </w:rPr>
              <w:t>Se conserva como idea; no se copia la arquitectura física legacy.</w:t>
            </w:r>
          </w:p>
        </w:tc>
      </w:tr>
    </w:tbl>
    <w:p>
      <w:pPr>
        <w:spacing w:after="40"/>
      </w:pPr>
    </w:p>
    <w:p>
      <w:pPr>
        <w:pStyle w:val="Heading1"/>
      </w:pPr>
      <w:r>
        <w:t>3. Estado técnico al momento de este checkpoint</w:t>
      </w:r>
    </w:p>
    <w:tbl>
      <w:tblPr>
        <w:tblW w:type="auto" w:w="0"/>
        <w:jc w:val="center"/>
        <w:tblLayout w:type="fixed"/>
        <w:tblLook w:firstColumn="1" w:firstRow="1" w:lastColumn="0" w:lastRow="0" w:noHBand="0" w:noVBand="1" w:val="04A0"/>
      </w:tblPr>
      <w:tblGrid>
        <w:gridCol w:w="3220"/>
        <w:gridCol w:w="3220"/>
        <w:gridCol w:w="3220"/>
      </w:tblGrid>
      <w:tr>
        <w:trPr>
          <w:tblHeader w:val="true"/>
          <w:cantSplit/>
        </w:trPr>
        <w:tc>
          <w:tcPr>
            <w:tcW w:type="dxa" w:w="1872"/>
            <w:shd w:fill="15324A"/>
            <w:tcMar>
              <w:top w:w="90" w:type="dxa"/>
              <w:start w:w="110" w:type="dxa"/>
              <w:bottom w:w="90" w:type="dxa"/>
              <w:end w:w="110" w:type="dxa"/>
            </w:tcMar>
          </w:tcPr>
          <w:p>
            <w:r>
              <w:rPr>
                <w:rFonts w:ascii="Aptos" w:hAnsi="Aptos"/>
                <w:b/>
                <w:color w:val="FFFFFF"/>
                <w:sz w:val="16"/>
              </w:rPr>
              <w:t>Incremento</w:t>
            </w:r>
          </w:p>
        </w:tc>
        <w:tc>
          <w:tcPr>
            <w:tcW w:type="dxa" w:w="2232"/>
            <w:shd w:fill="15324A"/>
            <w:tcMar>
              <w:top w:w="90" w:type="dxa"/>
              <w:start w:w="110" w:type="dxa"/>
              <w:bottom w:w="90" w:type="dxa"/>
              <w:end w:w="110" w:type="dxa"/>
            </w:tcMar>
          </w:tcPr>
          <w:p>
            <w:r>
              <w:rPr>
                <w:rFonts w:ascii="Aptos" w:hAnsi="Aptos"/>
                <w:b/>
                <w:color w:val="FFFFFF"/>
                <w:sz w:val="16"/>
              </w:rPr>
              <w:t>Estado</w:t>
            </w:r>
          </w:p>
        </w:tc>
        <w:tc>
          <w:tcPr>
            <w:tcW w:type="dxa" w:w="6984"/>
            <w:shd w:fill="15324A"/>
            <w:tcMar>
              <w:top w:w="90" w:type="dxa"/>
              <w:start w:w="110" w:type="dxa"/>
              <w:bottom w:w="90" w:type="dxa"/>
              <w:end w:w="110" w:type="dxa"/>
            </w:tcMar>
          </w:tcPr>
          <w:p>
            <w:r>
              <w:rPr>
                <w:rFonts w:ascii="Aptos" w:hAnsi="Aptos"/>
                <w:b/>
                <w:color w:val="FFFFFF"/>
                <w:sz w:val="16"/>
              </w:rPr>
              <w:t>Resultado</w:t>
            </w:r>
          </w:p>
        </w:tc>
      </w:tr>
      <w:tr>
        <w:trPr>
          <w:cantSplit/>
        </w:trPr>
        <w:tc>
          <w:tcPr>
            <w:tcW w:type="dxa" w:w="1872"/>
            <w:tcMar>
              <w:top w:w="90" w:type="dxa"/>
              <w:start w:w="110" w:type="dxa"/>
              <w:bottom w:w="90" w:type="dxa"/>
              <w:end w:w="110" w:type="dxa"/>
            </w:tcMar>
            <w:vAlign w:val="top"/>
            <w:shd w:fill="F8FAFB"/>
          </w:tcPr>
          <w:p>
            <w:pPr>
              <w:spacing w:after="0"/>
            </w:pPr>
            <w:r>
              <w:rPr>
                <w:rFonts w:ascii="Aptos" w:hAnsi="Aptos"/>
                <w:color w:val="25313B"/>
                <w:sz w:val="16"/>
              </w:rPr>
              <w:t>CL-001</w:t>
            </w:r>
          </w:p>
        </w:tc>
        <w:tc>
          <w:tcPr>
            <w:tcW w:type="dxa" w:w="2232"/>
            <w:tcMar>
              <w:top w:w="90" w:type="dxa"/>
              <w:start w:w="110" w:type="dxa"/>
              <w:bottom w:w="90" w:type="dxa"/>
              <w:end w:w="110" w:type="dxa"/>
            </w:tcMar>
            <w:vAlign w:val="top"/>
            <w:shd w:fill="F8FAFB"/>
          </w:tcPr>
          <w:p>
            <w:pPr>
              <w:spacing w:after="0"/>
            </w:pPr>
            <w:r>
              <w:rPr>
                <w:rFonts w:ascii="Aptos" w:hAnsi="Aptos"/>
                <w:color w:val="25313B"/>
                <w:sz w:val="16"/>
              </w:rPr>
              <w:t>GREEN</w:t>
            </w:r>
          </w:p>
        </w:tc>
        <w:tc>
          <w:tcPr>
            <w:tcW w:type="dxa" w:w="6984"/>
            <w:tcMar>
              <w:top w:w="90" w:type="dxa"/>
              <w:start w:w="110" w:type="dxa"/>
              <w:bottom w:w="90" w:type="dxa"/>
              <w:end w:w="110" w:type="dxa"/>
            </w:tcMar>
            <w:vAlign w:val="top"/>
            <w:shd w:fill="F8FAFB"/>
          </w:tcPr>
          <w:p>
            <w:pPr>
              <w:spacing w:after="0"/>
            </w:pPr>
            <w:r>
              <w:rPr>
                <w:rFonts w:ascii="Aptos" w:hAnsi="Aptos"/>
                <w:color w:val="25313B"/>
                <w:sz w:val="16"/>
              </w:rPr>
              <w:t>Manager Framework genérico aterrizado.</w:t>
            </w:r>
          </w:p>
        </w:tc>
      </w:tr>
      <w:tr>
        <w:trPr>
          <w:cantSplit/>
        </w:trPr>
        <w:tc>
          <w:tcPr>
            <w:tcW w:type="dxa" w:w="1872"/>
            <w:tcMar>
              <w:top w:w="90" w:type="dxa"/>
              <w:start w:w="110" w:type="dxa"/>
              <w:bottom w:w="90" w:type="dxa"/>
              <w:end w:w="110" w:type="dxa"/>
            </w:tcMar>
            <w:vAlign w:val="top"/>
          </w:tcPr>
          <w:p>
            <w:pPr>
              <w:spacing w:after="0"/>
            </w:pPr>
            <w:r>
              <w:rPr>
                <w:rFonts w:ascii="Aptos" w:hAnsi="Aptos"/>
                <w:color w:val="25313B"/>
                <w:sz w:val="16"/>
              </w:rPr>
              <w:t>CL-002A</w:t>
            </w:r>
          </w:p>
        </w:tc>
        <w:tc>
          <w:tcPr>
            <w:tcW w:type="dxa" w:w="2232"/>
            <w:tcMar>
              <w:top w:w="90" w:type="dxa"/>
              <w:start w:w="110" w:type="dxa"/>
              <w:bottom w:w="90" w:type="dxa"/>
              <w:end w:w="110" w:type="dxa"/>
            </w:tcMar>
            <w:vAlign w:val="top"/>
          </w:tcPr>
          <w:p>
            <w:pPr>
              <w:spacing w:after="0"/>
            </w:pPr>
            <w:r>
              <w:rPr>
                <w:rFonts w:ascii="Aptos" w:hAnsi="Aptos"/>
                <w:color w:val="25313B"/>
                <w:sz w:val="16"/>
              </w:rPr>
              <w:t>GREEN</w:t>
            </w:r>
          </w:p>
        </w:tc>
        <w:tc>
          <w:tcPr>
            <w:tcW w:type="dxa" w:w="6984"/>
            <w:tcMar>
              <w:top w:w="90" w:type="dxa"/>
              <w:start w:w="110" w:type="dxa"/>
              <w:bottom w:w="90" w:type="dxa"/>
              <w:end w:w="110" w:type="dxa"/>
            </w:tcMar>
            <w:vAlign w:val="top"/>
          </w:tcPr>
          <w:p>
            <w:pPr>
              <w:spacing w:after="0"/>
            </w:pPr>
            <w:r>
              <w:rPr>
                <w:rFonts w:ascii="Aptos" w:hAnsi="Aptos"/>
                <w:color w:val="25313B"/>
                <w:sz w:val="16"/>
              </w:rPr>
              <w:t>Navigation Configuration.</w:t>
            </w:r>
          </w:p>
        </w:tc>
      </w:tr>
      <w:tr>
        <w:trPr>
          <w:cantSplit/>
        </w:trPr>
        <w:tc>
          <w:tcPr>
            <w:tcW w:type="dxa" w:w="1872"/>
            <w:tcMar>
              <w:top w:w="90" w:type="dxa"/>
              <w:start w:w="110" w:type="dxa"/>
              <w:bottom w:w="90" w:type="dxa"/>
              <w:end w:w="110" w:type="dxa"/>
            </w:tcMar>
            <w:vAlign w:val="top"/>
            <w:shd w:fill="F8FAFB"/>
          </w:tcPr>
          <w:p>
            <w:pPr>
              <w:spacing w:after="0"/>
            </w:pPr>
            <w:r>
              <w:rPr>
                <w:rFonts w:ascii="Aptos" w:hAnsi="Aptos"/>
                <w:color w:val="25313B"/>
                <w:sz w:val="16"/>
              </w:rPr>
              <w:t>CL-002B</w:t>
            </w:r>
          </w:p>
        </w:tc>
        <w:tc>
          <w:tcPr>
            <w:tcW w:type="dxa" w:w="2232"/>
            <w:tcMar>
              <w:top w:w="90" w:type="dxa"/>
              <w:start w:w="110" w:type="dxa"/>
              <w:bottom w:w="90" w:type="dxa"/>
              <w:end w:w="110" w:type="dxa"/>
            </w:tcMar>
            <w:vAlign w:val="top"/>
            <w:shd w:fill="F8FAFB"/>
          </w:tcPr>
          <w:p>
            <w:pPr>
              <w:spacing w:after="0"/>
            </w:pPr>
            <w:r>
              <w:rPr>
                <w:rFonts w:ascii="Aptos" w:hAnsi="Aptos"/>
                <w:color w:val="25313B"/>
                <w:sz w:val="16"/>
              </w:rPr>
              <w:t>GREEN</w:t>
            </w:r>
          </w:p>
        </w:tc>
        <w:tc>
          <w:tcPr>
            <w:tcW w:type="dxa" w:w="6984"/>
            <w:tcMar>
              <w:top w:w="90" w:type="dxa"/>
              <w:start w:w="110" w:type="dxa"/>
              <w:bottom w:w="90" w:type="dxa"/>
              <w:end w:w="110" w:type="dxa"/>
            </w:tcMar>
            <w:vAlign w:val="top"/>
            <w:shd w:fill="F8FAFB"/>
          </w:tcPr>
          <w:p>
            <w:pPr>
              <w:spacing w:after="0"/>
            </w:pPr>
            <w:r>
              <w:rPr>
                <w:rFonts w:ascii="Aptos" w:hAnsi="Aptos"/>
                <w:color w:val="25313B"/>
                <w:sz w:val="16"/>
              </w:rPr>
              <w:t>Users Core.</w:t>
            </w:r>
          </w:p>
        </w:tc>
      </w:tr>
      <w:tr>
        <w:trPr>
          <w:cantSplit/>
        </w:trPr>
        <w:tc>
          <w:tcPr>
            <w:tcW w:type="dxa" w:w="1872"/>
            <w:tcMar>
              <w:top w:w="90" w:type="dxa"/>
              <w:start w:w="110" w:type="dxa"/>
              <w:bottom w:w="90" w:type="dxa"/>
              <w:end w:w="110" w:type="dxa"/>
            </w:tcMar>
            <w:vAlign w:val="top"/>
          </w:tcPr>
          <w:p>
            <w:pPr>
              <w:spacing w:after="0"/>
            </w:pPr>
            <w:r>
              <w:rPr>
                <w:rFonts w:ascii="Aptos" w:hAnsi="Aptos"/>
                <w:color w:val="25313B"/>
                <w:sz w:val="16"/>
              </w:rPr>
              <w:t>CL-002C</w:t>
            </w:r>
          </w:p>
        </w:tc>
        <w:tc>
          <w:tcPr>
            <w:tcW w:type="dxa" w:w="2232"/>
            <w:tcMar>
              <w:top w:w="90" w:type="dxa"/>
              <w:start w:w="110" w:type="dxa"/>
              <w:bottom w:w="90" w:type="dxa"/>
              <w:end w:w="110" w:type="dxa"/>
            </w:tcMar>
            <w:vAlign w:val="top"/>
          </w:tcPr>
          <w:p>
            <w:pPr>
              <w:spacing w:after="0"/>
            </w:pPr>
            <w:r>
              <w:rPr>
                <w:rFonts w:ascii="Aptos" w:hAnsi="Aptos"/>
                <w:color w:val="25313B"/>
                <w:sz w:val="16"/>
              </w:rPr>
              <w:t>GREEN</w:t>
            </w:r>
          </w:p>
        </w:tc>
        <w:tc>
          <w:tcPr>
            <w:tcW w:type="dxa" w:w="6984"/>
            <w:tcMar>
              <w:top w:w="90" w:type="dxa"/>
              <w:start w:w="110" w:type="dxa"/>
              <w:bottom w:w="90" w:type="dxa"/>
              <w:end w:w="110" w:type="dxa"/>
            </w:tcMar>
            <w:vAlign w:val="top"/>
          </w:tcPr>
          <w:p>
            <w:pPr>
              <w:spacing w:after="0"/>
            </w:pPr>
            <w:r>
              <w:rPr>
                <w:rFonts w:ascii="Aptos" w:hAnsi="Aptos"/>
                <w:color w:val="25313B"/>
                <w:sz w:val="16"/>
              </w:rPr>
              <w:t>Users Configuration.</w:t>
            </w:r>
          </w:p>
        </w:tc>
      </w:tr>
      <w:tr>
        <w:trPr>
          <w:cantSplit/>
        </w:trPr>
        <w:tc>
          <w:tcPr>
            <w:tcW w:type="dxa" w:w="1872"/>
            <w:tcMar>
              <w:top w:w="90" w:type="dxa"/>
              <w:start w:w="110" w:type="dxa"/>
              <w:bottom w:w="90" w:type="dxa"/>
              <w:end w:w="110" w:type="dxa"/>
            </w:tcMar>
            <w:vAlign w:val="top"/>
            <w:shd w:fill="F8FAFB"/>
          </w:tcPr>
          <w:p>
            <w:pPr>
              <w:spacing w:after="0"/>
            </w:pPr>
            <w:r>
              <w:rPr>
                <w:rFonts w:ascii="Aptos" w:hAnsi="Aptos"/>
                <w:color w:val="25313B"/>
                <w:sz w:val="16"/>
              </w:rPr>
              <w:t>CL-002D / D.1</w:t>
            </w:r>
          </w:p>
        </w:tc>
        <w:tc>
          <w:tcPr>
            <w:tcW w:type="dxa" w:w="2232"/>
            <w:tcMar>
              <w:top w:w="90" w:type="dxa"/>
              <w:start w:w="110" w:type="dxa"/>
              <w:bottom w:w="90" w:type="dxa"/>
              <w:end w:w="110" w:type="dxa"/>
            </w:tcMar>
            <w:vAlign w:val="top"/>
            <w:shd w:fill="F8FAFB"/>
          </w:tcPr>
          <w:p>
            <w:pPr>
              <w:spacing w:after="0"/>
            </w:pPr>
            <w:r>
              <w:rPr>
                <w:rFonts w:ascii="Aptos" w:hAnsi="Aptos"/>
                <w:color w:val="25313B"/>
                <w:sz w:val="16"/>
              </w:rPr>
              <w:t>GREEN</w:t>
            </w:r>
          </w:p>
        </w:tc>
        <w:tc>
          <w:tcPr>
            <w:tcW w:type="dxa" w:w="6984"/>
            <w:tcMar>
              <w:top w:w="90" w:type="dxa"/>
              <w:start w:w="110" w:type="dxa"/>
              <w:bottom w:w="90" w:type="dxa"/>
              <w:end w:w="110" w:type="dxa"/>
            </w:tcMar>
            <w:vAlign w:val="top"/>
            <w:shd w:fill="F8FAFB"/>
          </w:tcPr>
          <w:p>
            <w:pPr>
              <w:spacing w:after="0"/>
            </w:pPr>
            <w:r>
              <w:rPr>
                <w:rFonts w:ascii="Aptos" w:hAnsi="Aptos"/>
                <w:color w:val="25313B"/>
                <w:sz w:val="16"/>
              </w:rPr>
              <w:t>KPI Definition lifecycle + revision history.</w:t>
            </w:r>
          </w:p>
        </w:tc>
      </w:tr>
      <w:tr>
        <w:trPr>
          <w:cantSplit/>
        </w:trPr>
        <w:tc>
          <w:tcPr>
            <w:tcW w:type="dxa" w:w="1872"/>
            <w:tcMar>
              <w:top w:w="90" w:type="dxa"/>
              <w:start w:w="110" w:type="dxa"/>
              <w:bottom w:w="90" w:type="dxa"/>
              <w:end w:w="110" w:type="dxa"/>
            </w:tcMar>
            <w:vAlign w:val="top"/>
          </w:tcPr>
          <w:p>
            <w:pPr>
              <w:spacing w:after="0"/>
            </w:pPr>
            <w:r>
              <w:rPr>
                <w:rFonts w:ascii="Aptos" w:hAnsi="Aptos"/>
                <w:color w:val="25313B"/>
                <w:sz w:val="16"/>
              </w:rPr>
              <w:t>CL-002E / E.1</w:t>
            </w:r>
          </w:p>
        </w:tc>
        <w:tc>
          <w:tcPr>
            <w:tcW w:type="dxa" w:w="2232"/>
            <w:tcMar>
              <w:top w:w="90" w:type="dxa"/>
              <w:start w:w="110" w:type="dxa"/>
              <w:bottom w:w="90" w:type="dxa"/>
              <w:end w:w="110" w:type="dxa"/>
            </w:tcMar>
            <w:vAlign w:val="top"/>
          </w:tcPr>
          <w:p>
            <w:pPr>
              <w:spacing w:after="0"/>
            </w:pPr>
            <w:r>
              <w:rPr>
                <w:rFonts w:ascii="Aptos" w:hAnsi="Aptos"/>
                <w:color w:val="25313B"/>
                <w:sz w:val="16"/>
              </w:rPr>
              <w:t>GREEN</w:t>
            </w:r>
          </w:p>
        </w:tc>
        <w:tc>
          <w:tcPr>
            <w:tcW w:type="dxa" w:w="6984"/>
            <w:tcMar>
              <w:top w:w="90" w:type="dxa"/>
              <w:start w:w="110" w:type="dxa"/>
              <w:bottom w:w="90" w:type="dxa"/>
              <w:end w:w="110" w:type="dxa"/>
            </w:tcMar>
            <w:vAlign w:val="top"/>
          </w:tcPr>
          <w:p>
            <w:pPr>
              <w:spacing w:after="0"/>
            </w:pPr>
            <w:r>
              <w:rPr>
                <w:rFonts w:ascii="Aptos" w:hAnsi="Aptos"/>
                <w:color w:val="25313B"/>
                <w:sz w:val="16"/>
              </w:rPr>
              <w:t>Tool Configuration lifecycle + revision history.</w:t>
            </w:r>
          </w:p>
        </w:tc>
      </w:tr>
      <w:tr>
        <w:trPr>
          <w:cantSplit/>
        </w:trPr>
        <w:tc>
          <w:tcPr>
            <w:tcW w:type="dxa" w:w="1872"/>
            <w:tcMar>
              <w:top w:w="90" w:type="dxa"/>
              <w:start w:w="110" w:type="dxa"/>
              <w:bottom w:w="90" w:type="dxa"/>
              <w:end w:w="110" w:type="dxa"/>
            </w:tcMar>
            <w:vAlign w:val="top"/>
            <w:shd w:fill="F8FAFB"/>
          </w:tcPr>
          <w:p>
            <w:pPr>
              <w:spacing w:after="0"/>
            </w:pPr>
            <w:r>
              <w:rPr>
                <w:rFonts w:ascii="Aptos" w:hAnsi="Aptos"/>
                <w:color w:val="25313B"/>
                <w:sz w:val="16"/>
              </w:rPr>
              <w:t>CL-002F</w:t>
            </w:r>
          </w:p>
        </w:tc>
        <w:tc>
          <w:tcPr>
            <w:tcW w:type="dxa" w:w="2232"/>
            <w:tcMar>
              <w:top w:w="90" w:type="dxa"/>
              <w:start w:w="110" w:type="dxa"/>
              <w:bottom w:w="90" w:type="dxa"/>
              <w:end w:w="110" w:type="dxa"/>
            </w:tcMar>
            <w:vAlign w:val="top"/>
            <w:shd w:fill="F8FAFB"/>
          </w:tcPr>
          <w:p>
            <w:pPr>
              <w:spacing w:after="0"/>
            </w:pPr>
            <w:r>
              <w:rPr>
                <w:rFonts w:ascii="Aptos" w:hAnsi="Aptos"/>
                <w:color w:val="25313B"/>
                <w:sz w:val="16"/>
              </w:rPr>
              <w:t>GREEN</w:t>
            </w:r>
          </w:p>
        </w:tc>
        <w:tc>
          <w:tcPr>
            <w:tcW w:type="dxa" w:w="6984"/>
            <w:tcMar>
              <w:top w:w="90" w:type="dxa"/>
              <w:start w:w="110" w:type="dxa"/>
              <w:bottom w:w="90" w:type="dxa"/>
              <w:end w:w="110" w:type="dxa"/>
            </w:tcMar>
            <w:vAlign w:val="top"/>
            <w:shd w:fill="F8FAFB"/>
          </w:tcPr>
          <w:p>
            <w:pPr>
              <w:spacing w:after="0"/>
            </w:pPr>
            <w:r>
              <w:rPr>
                <w:rFonts w:ascii="Aptos" w:hAnsi="Aptos"/>
                <w:color w:val="25313B"/>
                <w:sz w:val="16"/>
              </w:rPr>
              <w:t>Workflow adapters ADA - Manager.</w:t>
            </w:r>
          </w:p>
        </w:tc>
      </w:tr>
      <w:tr>
        <w:trPr>
          <w:cantSplit/>
        </w:trPr>
        <w:tc>
          <w:tcPr>
            <w:tcW w:type="dxa" w:w="1872"/>
            <w:tcMar>
              <w:top w:w="90" w:type="dxa"/>
              <w:start w:w="110" w:type="dxa"/>
              <w:bottom w:w="90" w:type="dxa"/>
              <w:end w:w="110" w:type="dxa"/>
            </w:tcMar>
            <w:vAlign w:val="top"/>
          </w:tcPr>
          <w:p>
            <w:pPr>
              <w:spacing w:after="0"/>
            </w:pPr>
            <w:r>
              <w:rPr>
                <w:rFonts w:ascii="Aptos" w:hAnsi="Aptos"/>
                <w:color w:val="25313B"/>
                <w:sz w:val="16"/>
              </w:rPr>
              <w:t>CL-003A</w:t>
            </w:r>
          </w:p>
        </w:tc>
        <w:tc>
          <w:tcPr>
            <w:tcW w:type="dxa" w:w="2232"/>
            <w:tcMar>
              <w:top w:w="90" w:type="dxa"/>
              <w:start w:w="110" w:type="dxa"/>
              <w:bottom w:w="90" w:type="dxa"/>
              <w:end w:w="110" w:type="dxa"/>
            </w:tcMar>
            <w:vAlign w:val="top"/>
          </w:tcPr>
          <w:p>
            <w:pPr>
              <w:spacing w:after="0"/>
            </w:pPr>
            <w:r>
              <w:rPr>
                <w:rFonts w:ascii="Aptos" w:hAnsi="Aptos"/>
                <w:color w:val="25313B"/>
                <w:sz w:val="16"/>
              </w:rPr>
              <w:t>GREEN</w:t>
            </w:r>
          </w:p>
        </w:tc>
        <w:tc>
          <w:tcPr>
            <w:tcW w:type="dxa" w:w="6984"/>
            <w:tcMar>
              <w:top w:w="90" w:type="dxa"/>
              <w:start w:w="110" w:type="dxa"/>
              <w:bottom w:w="90" w:type="dxa"/>
              <w:end w:w="110" w:type="dxa"/>
            </w:tcMar>
            <w:vAlign w:val="top"/>
          </w:tcPr>
          <w:p>
            <w:pPr>
              <w:spacing w:after="0"/>
            </w:pPr>
            <w:r>
              <w:rPr>
                <w:rFonts w:ascii="Aptos" w:hAnsi="Aptos"/>
                <w:color w:val="25313B"/>
                <w:sz w:val="16"/>
              </w:rPr>
              <w:t>Host /manager + Users/Navigation.</w:t>
            </w:r>
          </w:p>
        </w:tc>
      </w:tr>
      <w:tr>
        <w:trPr>
          <w:cantSplit/>
        </w:trPr>
        <w:tc>
          <w:tcPr>
            <w:tcW w:type="dxa" w:w="1872"/>
            <w:tcMar>
              <w:top w:w="90" w:type="dxa"/>
              <w:start w:w="110" w:type="dxa"/>
              <w:bottom w:w="90" w:type="dxa"/>
              <w:end w:w="110" w:type="dxa"/>
            </w:tcMar>
            <w:vAlign w:val="top"/>
            <w:shd w:fill="F8FAFB"/>
          </w:tcPr>
          <w:p>
            <w:pPr>
              <w:spacing w:after="0"/>
            </w:pPr>
            <w:r>
              <w:rPr>
                <w:rFonts w:ascii="Aptos" w:hAnsi="Aptos"/>
                <w:color w:val="25313B"/>
                <w:sz w:val="16"/>
              </w:rPr>
              <w:t>CL-003B r1</w:t>
            </w:r>
          </w:p>
        </w:tc>
        <w:tc>
          <w:tcPr>
            <w:tcW w:type="dxa" w:w="2232"/>
            <w:tcMar>
              <w:top w:w="90" w:type="dxa"/>
              <w:start w:w="110" w:type="dxa"/>
              <w:bottom w:w="90" w:type="dxa"/>
              <w:end w:w="110" w:type="dxa"/>
            </w:tcMar>
            <w:vAlign w:val="top"/>
            <w:shd w:fill="F8FAFB"/>
          </w:tcPr>
          <w:p>
            <w:pPr>
              <w:spacing w:after="0"/>
            </w:pPr>
            <w:r>
              <w:rPr>
                <w:rFonts w:ascii="Aptos" w:hAnsi="Aptos"/>
                <w:color w:val="25313B"/>
                <w:sz w:val="16"/>
              </w:rPr>
              <w:t>APLICADO / GATE PENDIENTE</w:t>
            </w:r>
          </w:p>
        </w:tc>
        <w:tc>
          <w:tcPr>
            <w:tcW w:type="dxa" w:w="6984"/>
            <w:tcMar>
              <w:top w:w="90" w:type="dxa"/>
              <w:start w:w="110" w:type="dxa"/>
              <w:bottom w:w="90" w:type="dxa"/>
              <w:end w:w="110" w:type="dxa"/>
            </w:tcMar>
            <w:vAlign w:val="top"/>
            <w:shd w:fill="F8FAFB"/>
          </w:tcPr>
          <w:p>
            <w:pPr>
              <w:spacing w:after="0"/>
            </w:pPr>
            <w:r>
              <w:rPr>
                <w:rFonts w:ascii="Aptos" w:hAnsi="Aptos"/>
                <w:color w:val="25313B"/>
                <w:sz w:val="16"/>
              </w:rPr>
              <w:t>Integración inicial de Tool con Manager usando el editor actual de Sources.</w:t>
            </w:r>
          </w:p>
        </w:tc>
      </w:tr>
    </w:tbl>
    <w:p>
      <w:pPr>
        <w:spacing w:after="40"/>
      </w:pPr>
    </w:p>
    <w:p>
      <w:r>
        <w:rPr>
          <w:rFonts w:ascii="Aptos" w:hAnsi="Aptos"/>
        </w:rPr>
        <w:t>Importante: “aplicado” no equivale a “GREEN”. Hasta que el gate local de CL-003B sea reportado exitoso, el último incremento formalmente cerrado continúa siendo CL-003A.</w:t>
      </w:r>
    </w:p>
    <w:p>
      <w:r>
        <w:rPr>
          <w:rFonts w:ascii="Aptos" w:hAnsi="Aptos"/>
        </w:rPr>
        <w:t>Con CL-003B r1 aplicado, el package ada-configuration-manager queda localmente en la línea 0.3.0 del candidate, pero esa versión no se considera cualificada por este documento hasta cerrar el gate.</w:t>
      </w:r>
    </w:p>
    <w:p>
      <w:pPr>
        <w:pStyle w:val="Heading1"/>
      </w:pPr>
      <w:r>
        <w:t>4. Contrato autoritativo de Tool Configuration</w:t>
      </w:r>
    </w:p>
    <w:p>
      <w:r>
        <w:rPr>
          <w:rFonts w:ascii="Aptos" w:hAnsi="Aptos"/>
        </w:rPr>
        <w:t>Tool Configuration representa la herramienta concreta que construye la aplicación. No es un catálogo de herramientas disponibles y el Manager no decide cuál usar. La selección de Tool no existe como concepto de runtime administrativo.</w:t>
      </w:r>
    </w:p>
    <w:p>
      <w:pPr>
        <w:pStyle w:val="CodeBlock"/>
        <w:shd w:fill="F3F5F7"/>
      </w:pPr>
      <w:r>
        <w:rPr>
          <w:rFonts w:ascii="Liberation Mono" w:hAnsi="Liberation Mono"/>
          <w:color w:val="25313B"/>
          <w:sz w:val="16"/>
        </w:rPr>
        <w:t>Aplicación ADA concreta</w:t>
        <w:br/>
        <w:t xml:space="preserve">        ↓</w:t>
        <w:br/>
        <w:t>1 ToolConfiguration</w:t>
        <w:br/>
        <w:t xml:space="preserve">        ├── identidad</w:t>
        <w:br/>
        <w:t xml:space="preserve">        ├── source_consumption</w:t>
        <w:br/>
        <w:t xml:space="preserve">        ├── source_operational_participation</w:t>
        <w:br/>
        <w:t xml:space="preserve">        └── structure</w:t>
        <w:br/>
        <w:t xml:space="preserve">             ├── Components</w:t>
        <w:br/>
        <w:t xml:space="preserve">             └── Subcomponents</w:t>
      </w:r>
    </w:p>
    <w:p>
      <w:pPr>
        <w:pStyle w:val="ListBullet"/>
        <w:spacing w:after="50"/>
      </w:pPr>
      <w:r>
        <w:rPr>
          <w:rFonts w:ascii="Aptos" w:hAnsi="Aptos"/>
          <w:sz w:val="18"/>
        </w:rPr>
        <w:t>tool_key identifica la Tool; no es un selector de UI.</w:t>
      </w:r>
    </w:p>
    <w:p>
      <w:pPr>
        <w:pStyle w:val="ListBullet"/>
        <w:spacing w:after="50"/>
      </w:pPr>
      <w:r>
        <w:rPr>
          <w:rFonts w:ascii="Aptos" w:hAnsi="Aptos"/>
          <w:sz w:val="18"/>
        </w:rPr>
        <w:t>No se admiten selected_tool, default_tool, tool_catalog ni un workflow mutable por selección.</w:t>
      </w:r>
    </w:p>
    <w:p>
      <w:pPr>
        <w:pStyle w:val="ListBullet"/>
        <w:spacing w:after="50"/>
      </w:pPr>
      <w:r>
        <w:rPr>
          <w:rFonts w:ascii="Aptos" w:hAnsi="Aptos"/>
          <w:sz w:val="18"/>
        </w:rPr>
        <w:t>Manager Tools debe construir la Tool completa, incluyendo Sources y Structure.</w:t>
      </w:r>
    </w:p>
    <w:p>
      <w:pPr>
        <w:pStyle w:val="ListBullet"/>
        <w:spacing w:after="50"/>
      </w:pPr>
      <w:r>
        <w:rPr>
          <w:rFonts w:ascii="Aptos" w:hAnsi="Aptos"/>
          <w:sz w:val="18"/>
        </w:rPr>
        <w:t>La proyección de Tool es la autoridad de los destinos estructurales que KPI Configuration puede consumir.</w:t>
      </w:r>
    </w:p>
    <w:p>
      <w:pPr>
        <w:pStyle w:val="ListBullet"/>
        <w:spacing w:after="50"/>
      </w:pPr>
      <w:r>
        <w:rPr>
          <w:rFonts w:ascii="Aptos" w:hAnsi="Aptos"/>
          <w:sz w:val="18"/>
        </w:rPr>
        <w:t>CL-003B r1 se reclasifica como integración inicial de Sources con Manager; no representa todavía el cierre completo de Manager Tools.</w:t>
      </w:r>
    </w:p>
    <w:p>
      <w:pPr>
        <w:pStyle w:val="Heading2"/>
      </w:pPr>
      <w:r>
        <w:t>4.1 Consecuencia para CL-003B ya aplicado</w:t>
      </w:r>
    </w:p>
    <w:p>
      <w:r>
        <w:rPr>
          <w:rFonts w:ascii="Aptos" w:hAnsi="Aptos"/>
        </w:rPr>
        <w:t>No se ordena revertir CL-003B r1 únicamente por esta corrección conceptual. Su wiring inicial puede permanecer como base si el gate resulta GREEN, porque trabaja sobre la Tool de la aplicación. Sin embargo, antes de declarar Tools completo debe añadirse la edición/proyección de Structure para Components y Subcomponents.</w:t>
      </w:r>
    </w:p>
    <w:p>
      <w:pPr>
        <w:pStyle w:val="Heading1"/>
      </w:pPr>
      <w:r>
        <w:t>5. Nuevo dominio autoritativo: KPI Configuration</w:t>
      </w:r>
    </w:p>
    <w:p>
      <w:r>
        <w:rPr>
          <w:rFonts w:ascii="Aptos" w:hAnsi="Aptos"/>
        </w:rPr>
        <w:t>KPI Configuration es el dominio que declara qué KPI existen para la Tool y en qué destinos de la estructura participan. Ésta es la autoridad del universo de kpi_key. KPI Definition no puede crear un KPI.</w:t>
      </w:r>
    </w:p>
    <w:p>
      <w:pPr>
        <w:pStyle w:val="CodeBlock"/>
        <w:shd w:fill="F3F5F7"/>
      </w:pPr>
      <w:r>
        <w:rPr>
          <w:rFonts w:ascii="Liberation Mono" w:hAnsi="Liberation Mono"/>
          <w:color w:val="25313B"/>
          <w:sz w:val="16"/>
        </w:rPr>
        <w:t>Tool Projection</w:t>
        <w:br/>
        <w:t xml:space="preserve">  destination/component/subcomponent keys</w:t>
        <w:br/>
        <w:t xml:space="preserve">        ↓</w:t>
        <w:br/>
        <w:t>KPI Configuration</w:t>
        <w:br/>
        <w:t xml:space="preserve">  kpi_key + destino(s) válidos</w:t>
        <w:br/>
        <w:t xml:space="preserve">        ↓</w:t>
        <w:br/>
        <w:t>KPI Configuration Projection</w:t>
        <w:br/>
        <w:t xml:space="preserve">  catálogo de KPI configurados</w:t>
      </w:r>
    </w:p>
    <w:p>
      <w:r>
        <w:rPr>
          <w:rFonts w:ascii="Aptos" w:hAnsi="Aptos"/>
        </w:rPr>
        <w:t>Reglas mínimas ya congeladas:</w:t>
      </w:r>
    </w:p>
    <w:p>
      <w:pPr>
        <w:pStyle w:val="ListBullet"/>
        <w:spacing w:after="50"/>
      </w:pPr>
      <w:r>
        <w:rPr>
          <w:rFonts w:ascii="Aptos" w:hAnsi="Aptos"/>
          <w:sz w:val="18"/>
        </w:rPr>
        <w:t>Cada kpi_key configurado debe ser único dentro de la configuración vigente.</w:t>
      </w:r>
    </w:p>
    <w:p>
      <w:pPr>
        <w:pStyle w:val="ListBullet"/>
        <w:spacing w:after="50"/>
      </w:pPr>
      <w:r>
        <w:rPr>
          <w:rFonts w:ascii="Aptos" w:hAnsi="Aptos"/>
          <w:sz w:val="18"/>
        </w:rPr>
        <w:t>Cada destino referenciado por un KPI debe existir en la Tool Projection contra la cual se valida.</w:t>
      </w:r>
    </w:p>
    <w:p>
      <w:pPr>
        <w:pStyle w:val="ListBullet"/>
        <w:spacing w:after="50"/>
      </w:pPr>
      <w:r>
        <w:rPr>
          <w:rFonts w:ascii="Aptos" w:hAnsi="Aptos"/>
          <w:sz w:val="18"/>
        </w:rPr>
        <w:t>La proyección de KPI Configuration debe conservar la revisión de Tool Projection utilizada para validarla.</w:t>
      </w:r>
    </w:p>
    <w:p>
      <w:pPr>
        <w:pStyle w:val="ListBullet"/>
        <w:spacing w:after="50"/>
      </w:pPr>
      <w:r>
        <w:rPr>
          <w:rFonts w:ascii="Aptos" w:hAnsi="Aptos"/>
          <w:sz w:val="18"/>
        </w:rPr>
        <w:t>KPI Configuration debe tener Source, Validate, Verify Source, Publish, Project, History y Revision Recovery para participar en Manager.</w:t>
      </w:r>
    </w:p>
    <w:p>
      <w:pPr>
        <w:pStyle w:val="ListBullet"/>
        <w:spacing w:after="50"/>
      </w:pPr>
      <w:r>
        <w:rPr>
          <w:rFonts w:ascii="Aptos" w:hAnsi="Aptos"/>
          <w:sz w:val="18"/>
        </w:rPr>
        <w:t>KPI Configuration no debe importar ni depender de almacenamiento físico SharePoint/Cosmos; consumirá contratos estrechos e inyectables.</w:t>
      </w:r>
    </w:p>
    <w:p>
      <w:pPr>
        <w:pStyle w:val="Heading2"/>
      </w:pPr>
      <w:r>
        <w:t>5.1 Campos aún NO adjudicados</w:t>
      </w:r>
    </w:p>
    <w:p>
      <w:r>
        <w:rPr>
          <w:rFonts w:ascii="Aptos" w:hAnsi="Aptos"/>
        </w:rPr>
        <w:t>La cantera histórica incluía latest_enabled, series_enabled y series_hours dentro de KPI Configuration. Esos campos no se adoptan automáticamente: hoy existe un dominio Backend de KPI Delivery y debemos resolver qué autoridad corresponde a configuración/placement y cuál a delivery/runtime antes de escribir el contrato canónico.</w:t>
      </w:r>
    </w:p>
    <w:tbl>
      <w:tblPr>
        <w:tblW w:type="auto" w:w="0"/>
        <w:jc w:val="center"/>
        <w:tblLayout w:type="fixed"/>
        <w:tblLook w:firstColumn="1" w:firstRow="1" w:lastColumn="0" w:lastRow="0" w:noHBand="0" w:noVBand="1" w:val="04A0"/>
      </w:tblPr>
      <w:tblGrid>
        <w:gridCol w:w="2376"/>
        <w:gridCol w:w="1944"/>
        <w:gridCol w:w="6840"/>
      </w:tblGrid>
      <w:tr>
        <w:trPr>
          <w:cantSplit/>
        </w:trPr>
        <w:tc>
          <w:tcPr>
            <w:tcW w:type="dxa" w:w="3220"/>
            <w:vAlign w:val="center"/>
            <w:tcMar>
              <w:top w:w="90" w:type="dxa"/>
              <w:start w:w="110" w:type="dxa"/>
              <w:bottom w:w="90" w:type="dxa"/>
              <w:end w:w="110" w:type="dxa"/>
            </w:tcMar>
            <w:shd w:fill="FFF7E8"/>
          </w:tcPr>
          <w:p>
            <w:r>
              <w:rPr>
                <w:rFonts w:ascii="Aptos" w:hAnsi="Aptos"/>
                <w:b/>
                <w:color w:val="25313B"/>
                <w:sz w:val="17"/>
              </w:rPr>
              <w:t>Pendiente</w:t>
            </w:r>
          </w:p>
        </w:tc>
        <w:tc>
          <w:tcPr>
            <w:tcW w:type="dxa" w:w="3220"/>
            <w:vAlign w:val="center"/>
            <w:tcMar>
              <w:top w:w="90" w:type="dxa"/>
              <w:start w:w="110" w:type="dxa"/>
              <w:bottom w:w="90" w:type="dxa"/>
              <w:end w:w="110" w:type="dxa"/>
            </w:tcMar>
            <w:shd w:fill="FFF7E8"/>
          </w:tcPr>
          <w:p>
            <w:r>
              <w:rPr>
                <w:rFonts w:ascii="Aptos" w:hAnsi="Aptos"/>
                <w:b/>
                <w:color w:val="8B641C"/>
                <w:sz w:val="17"/>
              </w:rPr>
              <w:t>FRONTERA DELIVERY</w:t>
            </w:r>
          </w:p>
        </w:tc>
        <w:tc>
          <w:tcPr>
            <w:tcW w:type="dxa" w:w="3220"/>
            <w:vAlign w:val="center"/>
            <w:tcMar>
              <w:top w:w="90" w:type="dxa"/>
              <w:start w:w="110" w:type="dxa"/>
              <w:bottom w:w="90" w:type="dxa"/>
              <w:end w:w="110" w:type="dxa"/>
            </w:tcMar>
            <w:shd w:fill="FFF7E8"/>
          </w:tcPr>
          <w:p>
            <w:r>
              <w:rPr>
                <w:rFonts w:ascii="Aptos" w:hAnsi="Aptos"/>
                <w:b w:val="0"/>
                <w:color w:val="25313B"/>
                <w:sz w:val="17"/>
              </w:rPr>
              <w:t>No copiar latest/series de la cantera hasta decidir propiedad con KPI Delivery.</w:t>
            </w:r>
          </w:p>
        </w:tc>
      </w:tr>
    </w:tbl>
    <w:p>
      <w:pPr>
        <w:spacing w:after="20"/>
      </w:pPr>
    </w:p>
    <w:p>
      <w:pPr>
        <w:pStyle w:val="Heading1"/>
      </w:pPr>
      <w:r>
        <w:t>6. Contrato autoritativo de KPI Definition</w:t>
      </w:r>
    </w:p>
    <w:p>
      <w:r>
        <w:rPr>
          <w:rFonts w:ascii="Aptos" w:hAnsi="Aptos"/>
        </w:rPr>
        <w:t>KPI Definition describe un KPI que ya existe en KPI Configuration. Su modelo de kpi_key + fields continúa siendo válido como representación descriptiva, pero su frontera debe endurecerse: no puede aceptar como válida una definición cuyo kpi_key no pertenezca al catálogo proyectado por KPI Configuration.</w:t>
      </w:r>
    </w:p>
    <w:p>
      <w:pPr>
        <w:pStyle w:val="CodeBlock"/>
        <w:shd w:fill="F3F5F7"/>
      </w:pPr>
      <w:r>
        <w:rPr>
          <w:rFonts w:ascii="Liberation Mono" w:hAnsi="Liberation Mono"/>
          <w:color w:val="25313B"/>
          <w:sz w:val="16"/>
        </w:rPr>
        <w:t>KPI Configuration Projection</w:t>
        <w:br/>
        <w:t xml:space="preserve">        ↓</w:t>
        <w:br/>
        <w:t>KpiCatalogProvider</w:t>
        <w:br/>
        <w:t xml:space="preserve">        ↓</w:t>
        <w:br/>
        <w:t>KPI Definition</w:t>
        <w:br/>
        <w:t xml:space="preserve">        ├── nombre / label</w:t>
        <w:br/>
        <w:t xml:space="preserve">        ├── descripción</w:t>
        <w:br/>
        <w:t xml:space="preserve">        ├── unidad</w:t>
        <w:br/>
        <w:t xml:space="preserve">        ├── metodología</w:t>
        <w:br/>
        <w:t xml:space="preserve">        └── otros campos descriptivos</w:t>
      </w:r>
    </w:p>
    <w:p>
      <w:pPr>
        <w:pStyle w:val="ListBullet"/>
        <w:spacing w:after="50"/>
      </w:pPr>
      <w:r>
        <w:rPr>
          <w:rFonts w:ascii="Aptos" w:hAnsi="Aptos"/>
          <w:sz w:val="18"/>
        </w:rPr>
        <w:t>KPI Configuration es autoridad de existencia; KPI Definition es autoridad de significado.</w:t>
      </w:r>
    </w:p>
    <w:p>
      <w:pPr>
        <w:pStyle w:val="ListBullet"/>
        <w:spacing w:after="50"/>
      </w:pPr>
      <w:r>
        <w:rPr>
          <w:rFonts w:ascii="Aptos" w:hAnsi="Aptos"/>
          <w:sz w:val="18"/>
        </w:rPr>
        <w:t>No se puede publicar una definición para un kpi_key que no exista en KPI Configuration.</w:t>
      </w:r>
    </w:p>
    <w:p>
      <w:pPr>
        <w:pStyle w:val="ListBullet"/>
        <w:spacing w:after="50"/>
      </w:pPr>
      <w:r>
        <w:rPr>
          <w:rFonts w:ascii="Aptos" w:hAnsi="Aptos"/>
          <w:sz w:val="18"/>
        </w:rPr>
        <w:t>Una definición histórica puede recuperarse a Workspace/Draft, pero su republicación debe volver a validar contra el catálogo KPI vigente.</w:t>
      </w:r>
    </w:p>
    <w:p>
      <w:pPr>
        <w:pStyle w:val="ListBullet"/>
        <w:spacing w:after="50"/>
      </w:pPr>
      <w:r>
        <w:rPr>
          <w:rFonts w:ascii="Aptos" w:hAnsi="Aptos"/>
          <w:sz w:val="18"/>
        </w:rPr>
        <w:t>El History ya construido para KPI Definition permanece obligatorio y útil.</w:t>
      </w:r>
    </w:p>
    <w:p>
      <w:pPr>
        <w:pStyle w:val="Heading2"/>
      </w:pPr>
      <w:r>
        <w:t>6.1 Ausencia de definición como estado diagnosticable</w:t>
      </w:r>
    </w:p>
    <w:p>
      <w:r>
        <w:rPr>
          <w:rFonts w:ascii="Aptos" w:hAnsi="Aptos"/>
        </w:rPr>
        <w:t>Un KPI puede existir correctamente en KPI Configuration y todavía no tener Definition. Esa situación no debe confundirse con “el KPI no existe”. La cadena debe poder expresar explícitamente el hueco.</w:t>
      </w:r>
    </w:p>
    <w:tbl>
      <w:tblPr>
        <w:tblW w:type="auto" w:w="0"/>
        <w:jc w:val="center"/>
        <w:tblLayout w:type="fixed"/>
        <w:tblLook w:firstColumn="1" w:firstRow="1" w:lastColumn="0" w:lastRow="0" w:noHBand="0" w:noVBand="1" w:val="04A0"/>
      </w:tblPr>
      <w:tblGrid>
        <w:gridCol w:w="3220"/>
        <w:gridCol w:w="3220"/>
        <w:gridCol w:w="3220"/>
      </w:tblGrid>
      <w:tr>
        <w:trPr>
          <w:tblHeader w:val="true"/>
          <w:cantSplit/>
        </w:trPr>
        <w:tc>
          <w:tcPr>
            <w:tcW w:type="dxa" w:w="3168"/>
            <w:shd w:fill="15324A"/>
            <w:tcMar>
              <w:top w:w="90" w:type="dxa"/>
              <w:start w:w="110" w:type="dxa"/>
              <w:bottom w:w="90" w:type="dxa"/>
              <w:end w:w="110" w:type="dxa"/>
            </w:tcMar>
          </w:tcPr>
          <w:p>
            <w:r>
              <w:rPr>
                <w:rFonts w:ascii="Aptos" w:hAnsi="Aptos"/>
                <w:b/>
                <w:color w:val="FFFFFF"/>
                <w:sz w:val="16"/>
              </w:rPr>
              <w:t>Situación</w:t>
            </w:r>
          </w:p>
        </w:tc>
        <w:tc>
          <w:tcPr>
            <w:tcW w:type="dxa" w:w="2880"/>
            <w:shd w:fill="15324A"/>
            <w:tcMar>
              <w:top w:w="90" w:type="dxa"/>
              <w:start w:w="110" w:type="dxa"/>
              <w:bottom w:w="90" w:type="dxa"/>
              <w:end w:w="110" w:type="dxa"/>
            </w:tcMar>
          </w:tcPr>
          <w:p>
            <w:r>
              <w:rPr>
                <w:rFonts w:ascii="Aptos" w:hAnsi="Aptos"/>
                <w:b/>
                <w:color w:val="FFFFFF"/>
                <w:sz w:val="16"/>
              </w:rPr>
              <w:t>Interpretación</w:t>
            </w:r>
          </w:p>
        </w:tc>
        <w:tc>
          <w:tcPr>
            <w:tcW w:type="dxa" w:w="5040"/>
            <w:shd w:fill="15324A"/>
            <w:tcMar>
              <w:top w:w="90" w:type="dxa"/>
              <w:start w:w="110" w:type="dxa"/>
              <w:bottom w:w="90" w:type="dxa"/>
              <w:end w:w="110" w:type="dxa"/>
            </w:tcMar>
          </w:tcPr>
          <w:p>
            <w:r>
              <w:rPr>
                <w:rFonts w:ascii="Aptos" w:hAnsi="Aptos"/>
                <w:b/>
                <w:color w:val="FFFFFF"/>
                <w:sz w:val="16"/>
              </w:rPr>
              <w:t>Comportamiento esperado</w:t>
            </w:r>
          </w:p>
        </w:tc>
      </w:tr>
      <w:tr>
        <w:trPr>
          <w:cantSplit/>
        </w:trPr>
        <w:tc>
          <w:tcPr>
            <w:tcW w:type="dxa" w:w="3168"/>
            <w:tcMar>
              <w:top w:w="90" w:type="dxa"/>
              <w:start w:w="110" w:type="dxa"/>
              <w:bottom w:w="90" w:type="dxa"/>
              <w:end w:w="110" w:type="dxa"/>
            </w:tcMar>
            <w:vAlign w:val="top"/>
            <w:shd w:fill="F8FAFB"/>
          </w:tcPr>
          <w:p>
            <w:pPr>
              <w:spacing w:after="0"/>
            </w:pPr>
            <w:r>
              <w:rPr>
                <w:rFonts w:ascii="Aptos" w:hAnsi="Aptos"/>
                <w:color w:val="25313B"/>
                <w:sz w:val="16"/>
              </w:rPr>
              <w:t>KPI configurado + Definition válida</w:t>
            </w:r>
          </w:p>
        </w:tc>
        <w:tc>
          <w:tcPr>
            <w:tcW w:type="dxa" w:w="2880"/>
            <w:tcMar>
              <w:top w:w="90" w:type="dxa"/>
              <w:start w:w="110" w:type="dxa"/>
              <w:bottom w:w="90" w:type="dxa"/>
              <w:end w:w="110" w:type="dxa"/>
            </w:tcMar>
            <w:vAlign w:val="top"/>
            <w:shd w:fill="F8FAFB"/>
          </w:tcPr>
          <w:p>
            <w:pPr>
              <w:spacing w:after="0"/>
            </w:pPr>
            <w:r>
              <w:rPr>
                <w:rFonts w:ascii="Aptos" w:hAnsi="Aptos"/>
                <w:color w:val="25313B"/>
                <w:sz w:val="16"/>
              </w:rPr>
              <w:t>Completo</w:t>
            </w:r>
          </w:p>
        </w:tc>
        <w:tc>
          <w:tcPr>
            <w:tcW w:type="dxa" w:w="5040"/>
            <w:tcMar>
              <w:top w:w="90" w:type="dxa"/>
              <w:start w:w="110" w:type="dxa"/>
              <w:bottom w:w="90" w:type="dxa"/>
              <w:end w:w="110" w:type="dxa"/>
            </w:tcMar>
            <w:vAlign w:val="top"/>
            <w:shd w:fill="F8FAFB"/>
          </w:tcPr>
          <w:p>
            <w:pPr>
              <w:spacing w:after="0"/>
            </w:pPr>
            <w:r>
              <w:rPr>
                <w:rFonts w:ascii="Aptos" w:hAnsi="Aptos"/>
                <w:color w:val="25313B"/>
                <w:sz w:val="16"/>
              </w:rPr>
              <w:t>Inspection muestra contenido descriptivo.</w:t>
            </w:r>
          </w:p>
        </w:tc>
      </w:tr>
      <w:tr>
        <w:trPr>
          <w:cantSplit/>
        </w:trPr>
        <w:tc>
          <w:tcPr>
            <w:tcW w:type="dxa" w:w="3168"/>
            <w:tcMar>
              <w:top w:w="90" w:type="dxa"/>
              <w:start w:w="110" w:type="dxa"/>
              <w:bottom w:w="90" w:type="dxa"/>
              <w:end w:w="110" w:type="dxa"/>
            </w:tcMar>
            <w:vAlign w:val="top"/>
          </w:tcPr>
          <w:p>
            <w:pPr>
              <w:spacing w:after="0"/>
            </w:pPr>
            <w:r>
              <w:rPr>
                <w:rFonts w:ascii="Aptos" w:hAnsi="Aptos"/>
                <w:color w:val="25313B"/>
                <w:sz w:val="16"/>
              </w:rPr>
              <w:t>KPI configurado + Definition ausente</w:t>
            </w:r>
          </w:p>
        </w:tc>
        <w:tc>
          <w:tcPr>
            <w:tcW w:type="dxa" w:w="2880"/>
            <w:tcMar>
              <w:top w:w="90" w:type="dxa"/>
              <w:start w:w="110" w:type="dxa"/>
              <w:bottom w:w="90" w:type="dxa"/>
              <w:end w:w="110" w:type="dxa"/>
            </w:tcMar>
            <w:vAlign w:val="top"/>
          </w:tcPr>
          <w:p>
            <w:pPr>
              <w:spacing w:after="0"/>
            </w:pPr>
            <w:r>
              <w:rPr>
                <w:rFonts w:ascii="Aptos" w:hAnsi="Aptos"/>
                <w:color w:val="25313B"/>
                <w:sz w:val="16"/>
              </w:rPr>
              <w:t>Falta contenido</w:t>
            </w:r>
          </w:p>
        </w:tc>
        <w:tc>
          <w:tcPr>
            <w:tcW w:type="dxa" w:w="5040"/>
            <w:tcMar>
              <w:top w:w="90" w:type="dxa"/>
              <w:start w:w="110" w:type="dxa"/>
              <w:bottom w:w="90" w:type="dxa"/>
              <w:end w:w="110" w:type="dxa"/>
            </w:tcMar>
            <w:vAlign w:val="top"/>
          </w:tcPr>
          <w:p>
            <w:pPr>
              <w:spacing w:after="0"/>
            </w:pPr>
            <w:r>
              <w:rPr>
                <w:rFonts w:ascii="Aptos" w:hAnsi="Aptos"/>
                <w:color w:val="25313B"/>
                <w:sz w:val="16"/>
              </w:rPr>
              <w:t>Estado MISSING_DEFINITION; UI degrada sin romper el KPI.</w:t>
            </w:r>
          </w:p>
        </w:tc>
      </w:tr>
      <w:tr>
        <w:trPr>
          <w:cantSplit/>
        </w:trPr>
        <w:tc>
          <w:tcPr>
            <w:tcW w:type="dxa" w:w="3168"/>
            <w:tcMar>
              <w:top w:w="90" w:type="dxa"/>
              <w:start w:w="110" w:type="dxa"/>
              <w:bottom w:w="90" w:type="dxa"/>
              <w:end w:w="110" w:type="dxa"/>
            </w:tcMar>
            <w:vAlign w:val="top"/>
            <w:shd w:fill="F8FAFB"/>
          </w:tcPr>
          <w:p>
            <w:pPr>
              <w:spacing w:after="0"/>
            </w:pPr>
            <w:r>
              <w:rPr>
                <w:rFonts w:ascii="Aptos" w:hAnsi="Aptos"/>
                <w:color w:val="25313B"/>
                <w:sz w:val="16"/>
              </w:rPr>
              <w:t>KPI configurado + Definition inválida</w:t>
            </w:r>
          </w:p>
        </w:tc>
        <w:tc>
          <w:tcPr>
            <w:tcW w:type="dxa" w:w="2880"/>
            <w:tcMar>
              <w:top w:w="90" w:type="dxa"/>
              <w:start w:w="110" w:type="dxa"/>
              <w:bottom w:w="90" w:type="dxa"/>
              <w:end w:w="110" w:type="dxa"/>
            </w:tcMar>
            <w:vAlign w:val="top"/>
            <w:shd w:fill="F8FAFB"/>
          </w:tcPr>
          <w:p>
            <w:pPr>
              <w:spacing w:after="0"/>
            </w:pPr>
            <w:r>
              <w:rPr>
                <w:rFonts w:ascii="Aptos" w:hAnsi="Aptos"/>
                <w:color w:val="25313B"/>
                <w:sz w:val="16"/>
              </w:rPr>
              <w:t>Definición rota</w:t>
            </w:r>
          </w:p>
        </w:tc>
        <w:tc>
          <w:tcPr>
            <w:tcW w:type="dxa" w:w="5040"/>
            <w:tcMar>
              <w:top w:w="90" w:type="dxa"/>
              <w:start w:w="110" w:type="dxa"/>
              <w:bottom w:w="90" w:type="dxa"/>
              <w:end w:w="110" w:type="dxa"/>
            </w:tcMar>
            <w:vAlign w:val="top"/>
            <w:shd w:fill="F8FAFB"/>
          </w:tcPr>
          <w:p>
            <w:pPr>
              <w:spacing w:after="0"/>
            </w:pPr>
            <w:r>
              <w:rPr>
                <w:rFonts w:ascii="Aptos" w:hAnsi="Aptos"/>
                <w:color w:val="25313B"/>
                <w:sz w:val="16"/>
              </w:rPr>
              <w:t>Estado INVALID_DEFINITION / bloqueo según frontera de publicación.</w:t>
            </w:r>
          </w:p>
        </w:tc>
      </w:tr>
      <w:tr>
        <w:trPr>
          <w:cantSplit/>
        </w:trPr>
        <w:tc>
          <w:tcPr>
            <w:tcW w:type="dxa" w:w="3168"/>
            <w:tcMar>
              <w:top w:w="90" w:type="dxa"/>
              <w:start w:w="110" w:type="dxa"/>
              <w:bottom w:w="90" w:type="dxa"/>
              <w:end w:w="110" w:type="dxa"/>
            </w:tcMar>
            <w:vAlign w:val="top"/>
          </w:tcPr>
          <w:p>
            <w:pPr>
              <w:spacing w:after="0"/>
            </w:pPr>
            <w:r>
              <w:rPr>
                <w:rFonts w:ascii="Aptos" w:hAnsi="Aptos"/>
                <w:color w:val="25313B"/>
                <w:sz w:val="16"/>
              </w:rPr>
              <w:t>Definition para KPI no configurado</w:t>
            </w:r>
          </w:p>
        </w:tc>
        <w:tc>
          <w:tcPr>
            <w:tcW w:type="dxa" w:w="2880"/>
            <w:tcMar>
              <w:top w:w="90" w:type="dxa"/>
              <w:start w:w="110" w:type="dxa"/>
              <w:bottom w:w="90" w:type="dxa"/>
              <w:end w:w="110" w:type="dxa"/>
            </w:tcMar>
            <w:vAlign w:val="top"/>
          </w:tcPr>
          <w:p>
            <w:pPr>
              <w:spacing w:after="0"/>
            </w:pPr>
            <w:r>
              <w:rPr>
                <w:rFonts w:ascii="Aptos" w:hAnsi="Aptos"/>
                <w:color w:val="25313B"/>
                <w:sz w:val="16"/>
              </w:rPr>
              <w:t>Orphan / contrato inválido</w:t>
            </w:r>
          </w:p>
        </w:tc>
        <w:tc>
          <w:tcPr>
            <w:tcW w:type="dxa" w:w="5040"/>
            <w:tcMar>
              <w:top w:w="90" w:type="dxa"/>
              <w:start w:w="110" w:type="dxa"/>
              <w:bottom w:w="90" w:type="dxa"/>
              <w:end w:w="110" w:type="dxa"/>
            </w:tcMar>
            <w:vAlign w:val="top"/>
          </w:tcPr>
          <w:p>
            <w:pPr>
              <w:spacing w:after="0"/>
            </w:pPr>
            <w:r>
              <w:rPr>
                <w:rFonts w:ascii="Aptos" w:hAnsi="Aptos"/>
                <w:color w:val="25313B"/>
                <w:sz w:val="16"/>
              </w:rPr>
              <w:t>No debe publicarse como Definition vigente.</w:t>
            </w:r>
          </w:p>
        </w:tc>
      </w:tr>
      <w:tr>
        <w:trPr>
          <w:cantSplit/>
        </w:trPr>
        <w:tc>
          <w:tcPr>
            <w:tcW w:type="dxa" w:w="3168"/>
            <w:tcMar>
              <w:top w:w="90" w:type="dxa"/>
              <w:start w:w="110" w:type="dxa"/>
              <w:bottom w:w="90" w:type="dxa"/>
              <w:end w:w="110" w:type="dxa"/>
            </w:tcMar>
            <w:vAlign w:val="top"/>
            <w:shd w:fill="F8FAFB"/>
          </w:tcPr>
          <w:p>
            <w:pPr>
              <w:spacing w:after="0"/>
            </w:pPr>
            <w:r>
              <w:rPr>
                <w:rFonts w:ascii="Aptos" w:hAnsi="Aptos"/>
                <w:color w:val="25313B"/>
                <w:sz w:val="16"/>
              </w:rPr>
              <w:t>Web emite kpi_key no configurado</w:t>
            </w:r>
          </w:p>
        </w:tc>
        <w:tc>
          <w:tcPr>
            <w:tcW w:type="dxa" w:w="2880"/>
            <w:tcMar>
              <w:top w:w="90" w:type="dxa"/>
              <w:start w:w="110" w:type="dxa"/>
              <w:bottom w:w="90" w:type="dxa"/>
              <w:end w:w="110" w:type="dxa"/>
            </w:tcMar>
            <w:vAlign w:val="top"/>
            <w:shd w:fill="F8FAFB"/>
          </w:tcPr>
          <w:p>
            <w:pPr>
              <w:spacing w:after="0"/>
            </w:pPr>
            <w:r>
              <w:rPr>
                <w:rFonts w:ascii="Aptos" w:hAnsi="Aptos"/>
                <w:color w:val="25313B"/>
                <w:sz w:val="16"/>
              </w:rPr>
              <w:t>Ruptura estructural</w:t>
            </w:r>
          </w:p>
        </w:tc>
        <w:tc>
          <w:tcPr>
            <w:tcW w:type="dxa" w:w="5040"/>
            <w:tcMar>
              <w:top w:w="90" w:type="dxa"/>
              <w:start w:w="110" w:type="dxa"/>
              <w:bottom w:w="90" w:type="dxa"/>
              <w:end w:w="110" w:type="dxa"/>
            </w:tcMar>
            <w:vAlign w:val="top"/>
            <w:shd w:fill="F8FAFB"/>
          </w:tcPr>
          <w:p>
            <w:pPr>
              <w:spacing w:after="0"/>
            </w:pPr>
            <w:r>
              <w:rPr>
                <w:rFonts w:ascii="Aptos" w:hAnsi="Aptos"/>
                <w:color w:val="25313B"/>
                <w:sz w:val="16"/>
              </w:rPr>
              <w:t>Debe distinguirse de una simple definición faltante.</w:t>
            </w:r>
          </w:p>
        </w:tc>
      </w:tr>
    </w:tbl>
    <w:p>
      <w:pPr>
        <w:spacing w:after="40"/>
      </w:pPr>
    </w:p>
    <w:p>
      <w:pPr>
        <w:pStyle w:val="Heading2"/>
      </w:pPr>
      <w:r>
        <w:t>6.2 Contratos vacíos / placeholders</w:t>
      </w:r>
    </w:p>
    <w:p>
      <w:r>
        <w:rPr>
          <w:rFonts w:ascii="Aptos" w:hAnsi="Aptos"/>
        </w:rPr>
        <w:t>Se adopta como requisito semántico que el sistema pueda representar un KPI configurado sin definición para detectar dónde falta contenido. Todavía NO se decide que eso implique persistir automáticamente documentos vacíos. La representación puede resolverse como placeholder lógico/proyectado siempre que preserve la diferencia entre MISSING_DEFINITION y una Definition realmente existente.</w:t>
      </w:r>
    </w:p>
    <w:p>
      <w:pPr>
        <w:pStyle w:val="Heading1"/>
      </w:pPr>
      <w:r>
        <w:t>7. KPI Inspection / Bottom Offcanvas</w:t>
      </w:r>
    </w:p>
    <w:p>
      <w:r>
        <w:rPr>
          <w:rFonts w:ascii="Aptos" w:hAnsi="Aptos"/>
        </w:rPr>
        <w:t>La capacidad de inspección es consumidora de KPI Definition. El click sobre un valor numérico utiliza kpi_key como identidad estable; no crea ni configura el KPI.</w:t>
      </w:r>
    </w:p>
    <w:p>
      <w:pPr>
        <w:pStyle w:val="CodeBlock"/>
        <w:shd w:fill="F3F5F7"/>
      </w:pPr>
      <w:r>
        <w:rPr>
          <w:rFonts w:ascii="Liberation Mono" w:hAnsi="Liberation Mono"/>
          <w:color w:val="25313B"/>
          <w:sz w:val="16"/>
        </w:rPr>
        <w:t>Click sobre KPI en Web</w:t>
        <w:br/>
        <w:t xml:space="preserve">        ↓ kpi_key</w:t>
        <w:br/>
        <w:t>¿Existe en KPI Configuration?</w:t>
        <w:br/>
        <w:t xml:space="preserve">   ├── NO  → ruptura contractual / KPI no configurado</w:t>
        <w:br/>
        <w:t xml:space="preserve">   └── SÍ</w:t>
        <w:br/>
        <w:t xml:space="preserve">        ↓</w:t>
        <w:br/>
        <w:t>¿Definition disponible y válida?</w:t>
        <w:br/>
        <w:t xml:space="preserve">   ├── SÍ  → Bottom Offcanvas con información</w:t>
        <w:br/>
        <w:t xml:space="preserve">   └── NO  → contenido descriptivo no disponible</w:t>
        <w:br/>
      </w:r>
    </w:p>
    <w:p>
      <w:r>
        <w:rPr>
          <w:rFonts w:ascii="Aptos" w:hAnsi="Aptos"/>
        </w:rPr>
        <w:t>Esto protege la selección: una Definition faltante degrada sólo la información explicativa; un kpi_key que ni siquiera pertenece a KPI Configuration identifica una inconsistencia estructural diferente y más grave.</w:t>
      </w:r>
    </w:p>
    <w:p>
      <w:pPr>
        <w:pStyle w:val="Heading1"/>
      </w:pPr>
      <w:r>
        <w:t>8. Cadena de revisiones y trazabilidad</w:t>
      </w:r>
    </w:p>
    <w:p>
      <w:r>
        <w:rPr>
          <w:rFonts w:ascii="Aptos" w:hAnsi="Aptos"/>
        </w:rPr>
        <w:t>La nueva jerarquía debe mantener trazabilidad entre proyecciones. No basta con saber la revisión propia de cada dominio; una proyección downstream debe poder declarar contra qué revisión upstream fue validada.</w:t>
      </w:r>
    </w:p>
    <w:p>
      <w:pPr>
        <w:pStyle w:val="CodeBlock"/>
        <w:shd w:fill="F3F5F7"/>
      </w:pPr>
      <w:r>
        <w:rPr>
          <w:rFonts w:ascii="Liberation Mono" w:hAnsi="Liberation Mono"/>
          <w:color w:val="25313B"/>
          <w:sz w:val="16"/>
        </w:rPr>
        <w:t>Tool Source Revision</w:t>
        <w:br/>
        <w:t xml:space="preserve">        ↓</w:t>
        <w:br/>
        <w:t>Tool Projection Revision = T</w:t>
        <w:br/>
        <w:t xml:space="preserve">        ↓</w:t>
        <w:br/>
        <w:t>KPI Configuration Source Revision = Kc</w:t>
        <w:br/>
        <w:t>validated_against_tool_projection = T</w:t>
        <w:br/>
        <w:t xml:space="preserve">        ↓</w:t>
        <w:br/>
        <w:t>KPI Configuration Projection Revision = Kp</w:t>
        <w:br/>
        <w:t xml:space="preserve">        ↓</w:t>
        <w:br/>
        <w:t>KPI Definition Source Revision = D</w:t>
        <w:br/>
        <w:t>validated_against_kpi_catalog = Kp</w:t>
        <w:br/>
        <w:t xml:space="preserve">        ↓</w:t>
        <w:br/>
        <w:t>KPI Definition Projection</w:t>
      </w:r>
    </w:p>
    <w:p>
      <w:r>
        <w:rPr>
          <w:rFonts w:ascii="Aptos" w:hAnsi="Aptos"/>
        </w:rPr>
        <w:t>Las propiedades exactas y nombres físicos se definirán al construir los contratos. La autoridad congelada aquí es la relación de dependencia y revalidación: un cambio upstream puede volver obsoleta una proyección downstream.</w:t>
      </w:r>
    </w:p>
    <w:p>
      <w:pPr>
        <w:pStyle w:val="Heading1"/>
      </w:pPr>
      <w:r>
        <w:t>9. Matriz funcional del Manager después de la corrección</w:t>
      </w:r>
    </w:p>
    <w:tbl>
      <w:tblPr>
        <w:tblW w:type="auto" w:w="0"/>
        <w:jc w:val="center"/>
        <w:tblLayout w:type="fixed"/>
        <w:tblLook w:firstColumn="1" w:firstRow="1" w:lastColumn="0" w:lastRow="0" w:noHBand="0" w:noVBand="1" w:val="04A0"/>
      </w:tblPr>
      <w:tblGrid>
        <w:gridCol w:w="2415"/>
        <w:gridCol w:w="2415"/>
        <w:gridCol w:w="2415"/>
        <w:gridCol w:w="2415"/>
      </w:tblGrid>
      <w:tr>
        <w:trPr>
          <w:tblHeader w:val="true"/>
          <w:cantSplit/>
        </w:trPr>
        <w:tc>
          <w:tcPr>
            <w:tcW w:type="dxa" w:w="2376"/>
            <w:shd w:fill="15324A"/>
            <w:tcMar>
              <w:top w:w="90" w:type="dxa"/>
              <w:start w:w="110" w:type="dxa"/>
              <w:bottom w:w="90" w:type="dxa"/>
              <w:end w:w="110" w:type="dxa"/>
            </w:tcMar>
          </w:tcPr>
          <w:p>
            <w:r>
              <w:rPr>
                <w:rFonts w:ascii="Aptos" w:hAnsi="Aptos"/>
                <w:b/>
                <w:color w:val="FFFFFF"/>
                <w:sz w:val="16"/>
              </w:rPr>
              <w:t>Módulo semántico</w:t>
            </w:r>
          </w:p>
        </w:tc>
        <w:tc>
          <w:tcPr>
            <w:tcW w:type="dxa" w:w="2880"/>
            <w:shd w:fill="15324A"/>
            <w:tcMar>
              <w:top w:w="90" w:type="dxa"/>
              <w:start w:w="110" w:type="dxa"/>
              <w:bottom w:w="90" w:type="dxa"/>
              <w:end w:w="110" w:type="dxa"/>
            </w:tcMar>
          </w:tcPr>
          <w:p>
            <w:r>
              <w:rPr>
                <w:rFonts w:ascii="Aptos" w:hAnsi="Aptos"/>
                <w:b/>
                <w:color w:val="FFFFFF"/>
                <w:sz w:val="16"/>
              </w:rPr>
              <w:t>Autoridad</w:t>
            </w:r>
          </w:p>
        </w:tc>
        <w:tc>
          <w:tcPr>
            <w:tcW w:type="dxa" w:w="2376"/>
            <w:shd w:fill="15324A"/>
            <w:tcMar>
              <w:top w:w="90" w:type="dxa"/>
              <w:start w:w="110" w:type="dxa"/>
              <w:bottom w:w="90" w:type="dxa"/>
              <w:end w:w="110" w:type="dxa"/>
            </w:tcMar>
          </w:tcPr>
          <w:p>
            <w:r>
              <w:rPr>
                <w:rFonts w:ascii="Aptos" w:hAnsi="Aptos"/>
                <w:b/>
                <w:color w:val="FFFFFF"/>
                <w:sz w:val="16"/>
              </w:rPr>
              <w:t>Upstream</w:t>
            </w:r>
          </w:p>
        </w:tc>
        <w:tc>
          <w:tcPr>
            <w:tcW w:type="dxa" w:w="3384"/>
            <w:shd w:fill="15324A"/>
            <w:tcMar>
              <w:top w:w="90" w:type="dxa"/>
              <w:start w:w="110" w:type="dxa"/>
              <w:bottom w:w="90" w:type="dxa"/>
              <w:end w:w="110" w:type="dxa"/>
            </w:tcMar>
          </w:tcPr>
          <w:p>
            <w:r>
              <w:rPr>
                <w:rFonts w:ascii="Aptos" w:hAnsi="Aptos"/>
                <w:b/>
                <w:color w:val="FFFFFF"/>
                <w:sz w:val="16"/>
              </w:rPr>
              <w:t>Estado</w:t>
            </w:r>
          </w:p>
        </w:tc>
      </w:tr>
      <w:tr>
        <w:trPr>
          <w:cantSplit/>
        </w:trPr>
        <w:tc>
          <w:tcPr>
            <w:tcW w:type="dxa" w:w="2376"/>
            <w:tcMar>
              <w:top w:w="90" w:type="dxa"/>
              <w:start w:w="110" w:type="dxa"/>
              <w:bottom w:w="90" w:type="dxa"/>
              <w:end w:w="110" w:type="dxa"/>
            </w:tcMar>
            <w:vAlign w:val="top"/>
            <w:shd w:fill="F8FAFB"/>
          </w:tcPr>
          <w:p>
            <w:pPr>
              <w:spacing w:after="0"/>
            </w:pPr>
            <w:r>
              <w:rPr>
                <w:rFonts w:ascii="Aptos" w:hAnsi="Aptos"/>
                <w:color w:val="25313B"/>
                <w:sz w:val="16"/>
              </w:rPr>
              <w:t>Users</w:t>
            </w:r>
          </w:p>
        </w:tc>
        <w:tc>
          <w:tcPr>
            <w:tcW w:type="dxa" w:w="2880"/>
            <w:tcMar>
              <w:top w:w="90" w:type="dxa"/>
              <w:start w:w="110" w:type="dxa"/>
              <w:bottom w:w="90" w:type="dxa"/>
              <w:end w:w="110" w:type="dxa"/>
            </w:tcMar>
            <w:vAlign w:val="top"/>
            <w:shd w:fill="F8FAFB"/>
          </w:tcPr>
          <w:p>
            <w:pPr>
              <w:spacing w:after="0"/>
            </w:pPr>
            <w:r>
              <w:rPr>
                <w:rFonts w:ascii="Aptos" w:hAnsi="Aptos"/>
                <w:color w:val="25313B"/>
                <w:sz w:val="16"/>
              </w:rPr>
              <w:t>Usuarios/perfiles</w:t>
            </w:r>
          </w:p>
        </w:tc>
        <w:tc>
          <w:tcPr>
            <w:tcW w:type="dxa" w:w="2376"/>
            <w:tcMar>
              <w:top w:w="90" w:type="dxa"/>
              <w:start w:w="110" w:type="dxa"/>
              <w:bottom w:w="90" w:type="dxa"/>
              <w:end w:w="110" w:type="dxa"/>
            </w:tcMar>
            <w:vAlign w:val="top"/>
            <w:shd w:fill="F8FAFB"/>
          </w:tcPr>
          <w:p>
            <w:pPr>
              <w:spacing w:after="0"/>
            </w:pPr>
            <w:r>
              <w:rPr>
                <w:rFonts w:ascii="Aptos" w:hAnsi="Aptos"/>
                <w:color w:val="25313B"/>
                <w:sz w:val="16"/>
              </w:rPr>
              <w:t>—</w:t>
            </w:r>
          </w:p>
        </w:tc>
        <w:tc>
          <w:tcPr>
            <w:tcW w:type="dxa" w:w="3384"/>
            <w:tcMar>
              <w:top w:w="90" w:type="dxa"/>
              <w:start w:w="110" w:type="dxa"/>
              <w:bottom w:w="90" w:type="dxa"/>
              <w:end w:w="110" w:type="dxa"/>
            </w:tcMar>
            <w:vAlign w:val="top"/>
            <w:shd w:fill="F8FAFB"/>
          </w:tcPr>
          <w:p>
            <w:pPr>
              <w:spacing w:after="0"/>
            </w:pPr>
            <w:r>
              <w:rPr>
                <w:rFonts w:ascii="Aptos" w:hAnsi="Aptos"/>
                <w:color w:val="25313B"/>
                <w:sz w:val="16"/>
              </w:rPr>
              <w:t>Integrado / GREEN</w:t>
            </w:r>
          </w:p>
        </w:tc>
      </w:tr>
      <w:tr>
        <w:trPr>
          <w:cantSplit/>
        </w:trPr>
        <w:tc>
          <w:tcPr>
            <w:tcW w:type="dxa" w:w="2376"/>
            <w:tcMar>
              <w:top w:w="90" w:type="dxa"/>
              <w:start w:w="110" w:type="dxa"/>
              <w:bottom w:w="90" w:type="dxa"/>
              <w:end w:w="110" w:type="dxa"/>
            </w:tcMar>
            <w:vAlign w:val="top"/>
          </w:tcPr>
          <w:p>
            <w:pPr>
              <w:spacing w:after="0"/>
            </w:pPr>
            <w:r>
              <w:rPr>
                <w:rFonts w:ascii="Aptos" w:hAnsi="Aptos"/>
                <w:color w:val="25313B"/>
                <w:sz w:val="16"/>
              </w:rPr>
              <w:t>Navigation</w:t>
            </w:r>
          </w:p>
        </w:tc>
        <w:tc>
          <w:tcPr>
            <w:tcW w:type="dxa" w:w="2880"/>
            <w:tcMar>
              <w:top w:w="90" w:type="dxa"/>
              <w:start w:w="110" w:type="dxa"/>
              <w:bottom w:w="90" w:type="dxa"/>
              <w:end w:w="110" w:type="dxa"/>
            </w:tcMar>
            <w:vAlign w:val="top"/>
          </w:tcPr>
          <w:p>
            <w:pPr>
              <w:spacing w:after="0"/>
            </w:pPr>
            <w:r>
              <w:rPr>
                <w:rFonts w:ascii="Aptos" w:hAnsi="Aptos"/>
                <w:color w:val="25313B"/>
                <w:sz w:val="16"/>
              </w:rPr>
              <w:t>Navegación</w:t>
            </w:r>
          </w:p>
        </w:tc>
        <w:tc>
          <w:tcPr>
            <w:tcW w:type="dxa" w:w="2376"/>
            <w:tcMar>
              <w:top w:w="90" w:type="dxa"/>
              <w:start w:w="110" w:type="dxa"/>
              <w:bottom w:w="90" w:type="dxa"/>
              <w:end w:w="110" w:type="dxa"/>
            </w:tcMar>
            <w:vAlign w:val="top"/>
          </w:tcPr>
          <w:p>
            <w:pPr>
              <w:spacing w:after="0"/>
            </w:pPr>
            <w:r>
              <w:rPr>
                <w:rFonts w:ascii="Aptos" w:hAnsi="Aptos"/>
                <w:color w:val="25313B"/>
                <w:sz w:val="16"/>
              </w:rPr>
              <w:t>Users donde corresponda</w:t>
            </w:r>
          </w:p>
        </w:tc>
        <w:tc>
          <w:tcPr>
            <w:tcW w:type="dxa" w:w="3384"/>
            <w:tcMar>
              <w:top w:w="90" w:type="dxa"/>
              <w:start w:w="110" w:type="dxa"/>
              <w:bottom w:w="90" w:type="dxa"/>
              <w:end w:w="110" w:type="dxa"/>
            </w:tcMar>
            <w:vAlign w:val="top"/>
          </w:tcPr>
          <w:p>
            <w:pPr>
              <w:spacing w:after="0"/>
            </w:pPr>
            <w:r>
              <w:rPr>
                <w:rFonts w:ascii="Aptos" w:hAnsi="Aptos"/>
                <w:color w:val="25313B"/>
                <w:sz w:val="16"/>
              </w:rPr>
              <w:t>Integrado / GREEN</w:t>
            </w:r>
          </w:p>
        </w:tc>
      </w:tr>
      <w:tr>
        <w:trPr>
          <w:cantSplit/>
        </w:trPr>
        <w:tc>
          <w:tcPr>
            <w:tcW w:type="dxa" w:w="2376"/>
            <w:tcMar>
              <w:top w:w="90" w:type="dxa"/>
              <w:start w:w="110" w:type="dxa"/>
              <w:bottom w:w="90" w:type="dxa"/>
              <w:end w:w="110" w:type="dxa"/>
            </w:tcMar>
            <w:vAlign w:val="top"/>
            <w:shd w:fill="F8FAFB"/>
          </w:tcPr>
          <w:p>
            <w:pPr>
              <w:spacing w:after="0"/>
            </w:pPr>
            <w:r>
              <w:rPr>
                <w:rFonts w:ascii="Aptos" w:hAnsi="Aptos"/>
                <w:color w:val="25313B"/>
                <w:sz w:val="16"/>
              </w:rPr>
              <w:t>Tool Configuration</w:t>
            </w:r>
          </w:p>
        </w:tc>
        <w:tc>
          <w:tcPr>
            <w:tcW w:type="dxa" w:w="2880"/>
            <w:tcMar>
              <w:top w:w="90" w:type="dxa"/>
              <w:start w:w="110" w:type="dxa"/>
              <w:bottom w:w="90" w:type="dxa"/>
              <w:end w:w="110" w:type="dxa"/>
            </w:tcMar>
            <w:vAlign w:val="top"/>
            <w:shd w:fill="F8FAFB"/>
          </w:tcPr>
          <w:p>
            <w:pPr>
              <w:spacing w:after="0"/>
            </w:pPr>
            <w:r>
              <w:rPr>
                <w:rFonts w:ascii="Aptos" w:hAnsi="Aptos"/>
                <w:color w:val="25313B"/>
                <w:sz w:val="16"/>
              </w:rPr>
              <w:t>Tool + Sources + Structure</w:t>
            </w:r>
          </w:p>
        </w:tc>
        <w:tc>
          <w:tcPr>
            <w:tcW w:type="dxa" w:w="2376"/>
            <w:tcMar>
              <w:top w:w="90" w:type="dxa"/>
              <w:start w:w="110" w:type="dxa"/>
              <w:bottom w:w="90" w:type="dxa"/>
              <w:end w:w="110" w:type="dxa"/>
            </w:tcMar>
            <w:vAlign w:val="top"/>
            <w:shd w:fill="F8FAFB"/>
          </w:tcPr>
          <w:p>
            <w:pPr>
              <w:spacing w:after="0"/>
            </w:pPr>
            <w:r>
              <w:rPr>
                <w:rFonts w:ascii="Aptos" w:hAnsi="Aptos"/>
                <w:color w:val="25313B"/>
                <w:sz w:val="16"/>
              </w:rPr>
              <w:t>Contratos de fuentes</w:t>
            </w:r>
          </w:p>
        </w:tc>
        <w:tc>
          <w:tcPr>
            <w:tcW w:type="dxa" w:w="3384"/>
            <w:tcMar>
              <w:top w:w="90" w:type="dxa"/>
              <w:start w:w="110" w:type="dxa"/>
              <w:bottom w:w="90" w:type="dxa"/>
              <w:end w:w="110" w:type="dxa"/>
            </w:tcMar>
            <w:vAlign w:val="top"/>
            <w:shd w:fill="F8FAFB"/>
          </w:tcPr>
          <w:p>
            <w:pPr>
              <w:spacing w:after="0"/>
            </w:pPr>
            <w:r>
              <w:rPr>
                <w:rFonts w:ascii="Aptos" w:hAnsi="Aptos"/>
                <w:color w:val="25313B"/>
                <w:sz w:val="16"/>
              </w:rPr>
              <w:t>Integración inicial aplicada; Structure pendiente</w:t>
            </w:r>
          </w:p>
        </w:tc>
      </w:tr>
      <w:tr>
        <w:trPr>
          <w:cantSplit/>
        </w:trPr>
        <w:tc>
          <w:tcPr>
            <w:tcW w:type="dxa" w:w="2376"/>
            <w:tcMar>
              <w:top w:w="90" w:type="dxa"/>
              <w:start w:w="110" w:type="dxa"/>
              <w:bottom w:w="90" w:type="dxa"/>
              <w:end w:w="110" w:type="dxa"/>
            </w:tcMar>
            <w:vAlign w:val="top"/>
          </w:tcPr>
          <w:p>
            <w:pPr>
              <w:spacing w:after="0"/>
            </w:pPr>
            <w:r>
              <w:rPr>
                <w:rFonts w:ascii="Aptos" w:hAnsi="Aptos"/>
                <w:color w:val="25313B"/>
                <w:sz w:val="16"/>
              </w:rPr>
              <w:t>KPI Configuration</w:t>
            </w:r>
          </w:p>
        </w:tc>
        <w:tc>
          <w:tcPr>
            <w:tcW w:type="dxa" w:w="2880"/>
            <w:tcMar>
              <w:top w:w="90" w:type="dxa"/>
              <w:start w:w="110" w:type="dxa"/>
              <w:bottom w:w="90" w:type="dxa"/>
              <w:end w:w="110" w:type="dxa"/>
            </w:tcMar>
            <w:vAlign w:val="top"/>
          </w:tcPr>
          <w:p>
            <w:pPr>
              <w:spacing w:after="0"/>
            </w:pPr>
            <w:r>
              <w:rPr>
                <w:rFonts w:ascii="Aptos" w:hAnsi="Aptos"/>
                <w:color w:val="25313B"/>
                <w:sz w:val="16"/>
              </w:rPr>
              <w:t>Existencia y placement de KPI</w:t>
            </w:r>
          </w:p>
        </w:tc>
        <w:tc>
          <w:tcPr>
            <w:tcW w:type="dxa" w:w="2376"/>
            <w:tcMar>
              <w:top w:w="90" w:type="dxa"/>
              <w:start w:w="110" w:type="dxa"/>
              <w:bottom w:w="90" w:type="dxa"/>
              <w:end w:w="110" w:type="dxa"/>
            </w:tcMar>
            <w:vAlign w:val="top"/>
          </w:tcPr>
          <w:p>
            <w:pPr>
              <w:spacing w:after="0"/>
            </w:pPr>
            <w:r>
              <w:rPr>
                <w:rFonts w:ascii="Aptos" w:hAnsi="Aptos"/>
                <w:color w:val="25313B"/>
                <w:sz w:val="16"/>
              </w:rPr>
              <w:t>Tool Projection</w:t>
            </w:r>
          </w:p>
        </w:tc>
        <w:tc>
          <w:tcPr>
            <w:tcW w:type="dxa" w:w="3384"/>
            <w:tcMar>
              <w:top w:w="90" w:type="dxa"/>
              <w:start w:w="110" w:type="dxa"/>
              <w:bottom w:w="90" w:type="dxa"/>
              <w:end w:w="110" w:type="dxa"/>
            </w:tcMar>
            <w:vAlign w:val="top"/>
          </w:tcPr>
          <w:p>
            <w:pPr>
              <w:spacing w:after="0"/>
            </w:pPr>
            <w:r>
              <w:rPr>
                <w:rFonts w:ascii="Aptos" w:hAnsi="Aptos"/>
                <w:color w:val="25313B"/>
                <w:sz w:val="16"/>
              </w:rPr>
              <w:t>NO construido en canónico</w:t>
            </w:r>
          </w:p>
        </w:tc>
      </w:tr>
      <w:tr>
        <w:trPr>
          <w:cantSplit/>
        </w:trPr>
        <w:tc>
          <w:tcPr>
            <w:tcW w:type="dxa" w:w="2376"/>
            <w:tcMar>
              <w:top w:w="90" w:type="dxa"/>
              <w:start w:w="110" w:type="dxa"/>
              <w:bottom w:w="90" w:type="dxa"/>
              <w:end w:w="110" w:type="dxa"/>
            </w:tcMar>
            <w:vAlign w:val="top"/>
            <w:shd w:fill="F8FAFB"/>
          </w:tcPr>
          <w:p>
            <w:pPr>
              <w:spacing w:after="0"/>
            </w:pPr>
            <w:r>
              <w:rPr>
                <w:rFonts w:ascii="Aptos" w:hAnsi="Aptos"/>
                <w:color w:val="25313B"/>
                <w:sz w:val="16"/>
              </w:rPr>
              <w:t>KPI Definition</w:t>
            </w:r>
          </w:p>
        </w:tc>
        <w:tc>
          <w:tcPr>
            <w:tcW w:type="dxa" w:w="2880"/>
            <w:tcMar>
              <w:top w:w="90" w:type="dxa"/>
              <w:start w:w="110" w:type="dxa"/>
              <w:bottom w:w="90" w:type="dxa"/>
              <w:end w:w="110" w:type="dxa"/>
            </w:tcMar>
            <w:vAlign w:val="top"/>
            <w:shd w:fill="F8FAFB"/>
          </w:tcPr>
          <w:p>
            <w:pPr>
              <w:spacing w:after="0"/>
            </w:pPr>
            <w:r>
              <w:rPr>
                <w:rFonts w:ascii="Aptos" w:hAnsi="Aptos"/>
                <w:color w:val="25313B"/>
                <w:sz w:val="16"/>
              </w:rPr>
              <w:t>Significado descriptivo del KPI</w:t>
            </w:r>
          </w:p>
        </w:tc>
        <w:tc>
          <w:tcPr>
            <w:tcW w:type="dxa" w:w="2376"/>
            <w:tcMar>
              <w:top w:w="90" w:type="dxa"/>
              <w:start w:w="110" w:type="dxa"/>
              <w:bottom w:w="90" w:type="dxa"/>
              <w:end w:w="110" w:type="dxa"/>
            </w:tcMar>
            <w:vAlign w:val="top"/>
            <w:shd w:fill="F8FAFB"/>
          </w:tcPr>
          <w:p>
            <w:pPr>
              <w:spacing w:after="0"/>
            </w:pPr>
            <w:r>
              <w:rPr>
                <w:rFonts w:ascii="Aptos" w:hAnsi="Aptos"/>
                <w:color w:val="25313B"/>
                <w:sz w:val="16"/>
              </w:rPr>
              <w:t>KPI Configuration Projection</w:t>
            </w:r>
          </w:p>
        </w:tc>
        <w:tc>
          <w:tcPr>
            <w:tcW w:type="dxa" w:w="3384"/>
            <w:tcMar>
              <w:top w:w="90" w:type="dxa"/>
              <w:start w:w="110" w:type="dxa"/>
              <w:bottom w:w="90" w:type="dxa"/>
              <w:end w:w="110" w:type="dxa"/>
            </w:tcMar>
            <w:vAlign w:val="top"/>
            <w:shd w:fill="F8FAFB"/>
          </w:tcPr>
          <w:p>
            <w:pPr>
              <w:spacing w:after="0"/>
            </w:pPr>
            <w:r>
              <w:rPr>
                <w:rFonts w:ascii="Aptos" w:hAnsi="Aptos"/>
                <w:color w:val="25313B"/>
                <w:sz w:val="16"/>
              </w:rPr>
              <w:t>Lifecycle/History GREEN; dependencia upstream pendiente</w:t>
            </w:r>
          </w:p>
        </w:tc>
      </w:tr>
    </w:tbl>
    <w:p>
      <w:pPr>
        <w:spacing w:after="40"/>
      </w:pPr>
    </w:p>
    <w:p>
      <w:r>
        <w:rPr>
          <w:rFonts w:ascii="Aptos" w:hAnsi="Aptos"/>
        </w:rPr>
        <w:t>La presentación final puede agrupar visualmente KPI Configuration y KPI Definition bajo una sección KPI, pero no deben fusionarse sus contratos ni sus responsabilidades.</w:t>
      </w:r>
    </w:p>
    <w:p>
      <w:pPr>
        <w:pStyle w:val="Heading1"/>
      </w:pPr>
      <w:r>
        <w:t>10. Impacto sobre CL-002F y la composition root</w:t>
      </w:r>
    </w:p>
    <w:p>
      <w:r>
        <w:rPr>
          <w:rFonts w:ascii="Aptos" w:hAnsi="Aptos"/>
        </w:rPr>
        <w:t>CL-002F sigue siendo un cierre válido: el KpiDefinitionManagerWorkflowAdapter adapta correctamente el lifecycle de KPI Definition. Lo que cambia es el rol que le atribuíamos dentro del host.</w:t>
      </w:r>
    </w:p>
    <w:p>
      <w:pPr>
        <w:pStyle w:val="ListBullet"/>
        <w:spacing w:after="50"/>
      </w:pPr>
      <w:r>
        <w:rPr>
          <w:rFonts w:ascii="Aptos" w:hAnsi="Aptos"/>
          <w:sz w:val="18"/>
        </w:rPr>
        <w:t>No eliminar KpiDefinitionManagerWorkflowAdapter por esta corrección.</w:t>
      </w:r>
    </w:p>
    <w:p>
      <w:pPr>
        <w:pStyle w:val="ListBullet"/>
        <w:spacing w:after="50"/>
      </w:pPr>
      <w:r>
        <w:rPr>
          <w:rFonts w:ascii="Aptos" w:hAnsi="Aptos"/>
          <w:sz w:val="18"/>
        </w:rPr>
        <w:t>No usarlo como sustituto del futuro KpiConfigurationManagerWorkflowAdapter.</w:t>
      </w:r>
    </w:p>
    <w:p>
      <w:pPr>
        <w:pStyle w:val="ListBullet"/>
        <w:spacing w:after="50"/>
      </w:pPr>
      <w:r>
        <w:rPr>
          <w:rFonts w:ascii="Aptos" w:hAnsi="Aptos"/>
          <w:sz w:val="18"/>
        </w:rPr>
        <w:t>Cuando KPI Configuration exista, la composition root deberá registrar ambos workflows con identidades separadas.</w:t>
      </w:r>
    </w:p>
    <w:p>
      <w:pPr>
        <w:pStyle w:val="ListBullet"/>
        <w:spacing w:after="50"/>
      </w:pPr>
      <w:r>
        <w:rPr>
          <w:rFonts w:ascii="Aptos" w:hAnsi="Aptos"/>
          <w:sz w:val="18"/>
        </w:rPr>
        <w:t>La lista anterior de “cuatro adapters” deja de ser la matriz funcional completa del Manager; será ampliada, no reescrita artificialmente.</w:t>
      </w:r>
    </w:p>
    <w:p>
      <w:pPr>
        <w:pStyle w:val="Heading1"/>
      </w:pPr>
      <w:r>
        <w:t>11. Roadmap autoritativo revisado</w:t>
      </w:r>
    </w:p>
    <w:tbl>
      <w:tblPr>
        <w:tblW w:type="auto" w:w="0"/>
        <w:jc w:val="center"/>
        <w:tblLayout w:type="fixed"/>
        <w:tblLook w:firstColumn="1" w:firstRow="1" w:lastColumn="0" w:lastRow="0" w:noHBand="0" w:noVBand="1" w:val="04A0"/>
      </w:tblPr>
      <w:tblGrid>
        <w:gridCol w:w="3220"/>
        <w:gridCol w:w="3220"/>
        <w:gridCol w:w="3220"/>
      </w:tblGrid>
      <w:tr>
        <w:trPr>
          <w:tblHeader w:val="true"/>
          <w:cantSplit/>
        </w:trPr>
        <w:tc>
          <w:tcPr>
            <w:tcW w:type="dxa" w:w="1656"/>
            <w:shd w:fill="15324A"/>
            <w:tcMar>
              <w:top w:w="90" w:type="dxa"/>
              <w:start w:w="110" w:type="dxa"/>
              <w:bottom w:w="90" w:type="dxa"/>
              <w:end w:w="110" w:type="dxa"/>
            </w:tcMar>
          </w:tcPr>
          <w:p>
            <w:r>
              <w:rPr>
                <w:rFonts w:ascii="Aptos" w:hAnsi="Aptos"/>
                <w:b/>
                <w:color w:val="FFFFFF"/>
                <w:sz w:val="16"/>
              </w:rPr>
              <w:t>Incremento</w:t>
            </w:r>
          </w:p>
        </w:tc>
        <w:tc>
          <w:tcPr>
            <w:tcW w:type="dxa" w:w="4680"/>
            <w:shd w:fill="15324A"/>
            <w:tcMar>
              <w:top w:w="90" w:type="dxa"/>
              <w:start w:w="110" w:type="dxa"/>
              <w:bottom w:w="90" w:type="dxa"/>
              <w:end w:w="110" w:type="dxa"/>
            </w:tcMar>
          </w:tcPr>
          <w:p>
            <w:r>
              <w:rPr>
                <w:rFonts w:ascii="Aptos" w:hAnsi="Aptos"/>
                <w:b/>
                <w:color w:val="FFFFFF"/>
                <w:sz w:val="16"/>
              </w:rPr>
              <w:t>Objetivo</w:t>
            </w:r>
          </w:p>
        </w:tc>
        <w:tc>
          <w:tcPr>
            <w:tcW w:type="dxa" w:w="4680"/>
            <w:shd w:fill="15324A"/>
            <w:tcMar>
              <w:top w:w="90" w:type="dxa"/>
              <w:start w:w="110" w:type="dxa"/>
              <w:bottom w:w="90" w:type="dxa"/>
              <w:end w:w="110" w:type="dxa"/>
            </w:tcMar>
          </w:tcPr>
          <w:p>
            <w:r>
              <w:rPr>
                <w:rFonts w:ascii="Aptos" w:hAnsi="Aptos"/>
                <w:b/>
                <w:color w:val="FFFFFF"/>
                <w:sz w:val="16"/>
              </w:rPr>
              <w:t>Condición de salida</w:t>
            </w:r>
          </w:p>
        </w:tc>
      </w:tr>
      <w:tr>
        <w:trPr>
          <w:cantSplit/>
        </w:trPr>
        <w:tc>
          <w:tcPr>
            <w:tcW w:type="dxa" w:w="1656"/>
            <w:tcMar>
              <w:top w:w="90" w:type="dxa"/>
              <w:start w:w="110" w:type="dxa"/>
              <w:bottom w:w="90" w:type="dxa"/>
              <w:end w:w="110" w:type="dxa"/>
            </w:tcMar>
            <w:vAlign w:val="top"/>
            <w:shd w:fill="F8FAFB"/>
          </w:tcPr>
          <w:p>
            <w:pPr>
              <w:spacing w:after="0"/>
            </w:pPr>
            <w:r>
              <w:rPr>
                <w:rFonts w:ascii="Aptos" w:hAnsi="Aptos"/>
                <w:color w:val="25313B"/>
                <w:sz w:val="16"/>
              </w:rPr>
              <w:t>CL-003B</w:t>
            </w:r>
          </w:p>
        </w:tc>
        <w:tc>
          <w:tcPr>
            <w:tcW w:type="dxa" w:w="4680"/>
            <w:tcMar>
              <w:top w:w="90" w:type="dxa"/>
              <w:start w:w="110" w:type="dxa"/>
              <w:bottom w:w="90" w:type="dxa"/>
              <w:end w:w="110" w:type="dxa"/>
            </w:tcMar>
            <w:vAlign w:val="top"/>
            <w:shd w:fill="F8FAFB"/>
          </w:tcPr>
          <w:p>
            <w:pPr>
              <w:spacing w:after="0"/>
            </w:pPr>
            <w:r>
              <w:rPr>
                <w:rFonts w:ascii="Aptos" w:hAnsi="Aptos"/>
                <w:color w:val="25313B"/>
                <w:sz w:val="16"/>
              </w:rPr>
              <w:t>Integración inicial Tool  -  Manager ya aplicada</w:t>
            </w:r>
          </w:p>
        </w:tc>
        <w:tc>
          <w:tcPr>
            <w:tcW w:type="dxa" w:w="4680"/>
            <w:tcMar>
              <w:top w:w="90" w:type="dxa"/>
              <w:start w:w="110" w:type="dxa"/>
              <w:bottom w:w="90" w:type="dxa"/>
              <w:end w:w="110" w:type="dxa"/>
            </w:tcMar>
            <w:vAlign w:val="top"/>
            <w:shd w:fill="F8FAFB"/>
          </w:tcPr>
          <w:p>
            <w:pPr>
              <w:spacing w:after="0"/>
            </w:pPr>
            <w:r>
              <w:rPr>
                <w:rFonts w:ascii="Aptos" w:hAnsi="Aptos"/>
                <w:color w:val="25313B"/>
                <w:sz w:val="16"/>
              </w:rPr>
              <w:t>Gate GREEN. Si falla, corrective sin cambiar esta arquitectura.</w:t>
            </w:r>
          </w:p>
        </w:tc>
      </w:tr>
      <w:tr>
        <w:trPr>
          <w:cantSplit/>
        </w:trPr>
        <w:tc>
          <w:tcPr>
            <w:tcW w:type="dxa" w:w="1656"/>
            <w:tcMar>
              <w:top w:w="90" w:type="dxa"/>
              <w:start w:w="110" w:type="dxa"/>
              <w:bottom w:w="90" w:type="dxa"/>
              <w:end w:w="110" w:type="dxa"/>
            </w:tcMar>
            <w:vAlign w:val="top"/>
          </w:tcPr>
          <w:p>
            <w:pPr>
              <w:spacing w:after="0"/>
            </w:pPr>
            <w:r>
              <w:rPr>
                <w:rFonts w:ascii="Aptos" w:hAnsi="Aptos"/>
                <w:color w:val="25313B"/>
                <w:sz w:val="16"/>
              </w:rPr>
              <w:t>CL-003B.1</w:t>
            </w:r>
          </w:p>
        </w:tc>
        <w:tc>
          <w:tcPr>
            <w:tcW w:type="dxa" w:w="4680"/>
            <w:tcMar>
              <w:top w:w="90" w:type="dxa"/>
              <w:start w:w="110" w:type="dxa"/>
              <w:bottom w:w="90" w:type="dxa"/>
              <w:end w:w="110" w:type="dxa"/>
            </w:tcMar>
            <w:vAlign w:val="top"/>
          </w:tcPr>
          <w:p>
            <w:pPr>
              <w:spacing w:after="0"/>
            </w:pPr>
            <w:r>
              <w:rPr>
                <w:rFonts w:ascii="Aptos" w:hAnsi="Aptos"/>
                <w:color w:val="25313B"/>
                <w:sz w:val="16"/>
              </w:rPr>
              <w:t>Tool Structure Manager</w:t>
            </w:r>
          </w:p>
        </w:tc>
        <w:tc>
          <w:tcPr>
            <w:tcW w:type="dxa" w:w="4680"/>
            <w:tcMar>
              <w:top w:w="90" w:type="dxa"/>
              <w:start w:w="110" w:type="dxa"/>
              <w:bottom w:w="90" w:type="dxa"/>
              <w:end w:w="110" w:type="dxa"/>
            </w:tcMar>
            <w:vAlign w:val="top"/>
          </w:tcPr>
          <w:p>
            <w:pPr>
              <w:spacing w:after="0"/>
            </w:pPr>
            <w:r>
              <w:rPr>
                <w:rFonts w:ascii="Aptos" w:hAnsi="Aptos"/>
                <w:color w:val="25313B"/>
                <w:sz w:val="16"/>
              </w:rPr>
              <w:t>Components/Subcomponents editables y proyectables dentro del mismo ToolConfiguration.</w:t>
            </w:r>
          </w:p>
        </w:tc>
      </w:tr>
      <w:tr>
        <w:trPr>
          <w:cantSplit/>
        </w:trPr>
        <w:tc>
          <w:tcPr>
            <w:tcW w:type="dxa" w:w="1656"/>
            <w:tcMar>
              <w:top w:w="90" w:type="dxa"/>
              <w:start w:w="110" w:type="dxa"/>
              <w:bottom w:w="90" w:type="dxa"/>
              <w:end w:w="110" w:type="dxa"/>
            </w:tcMar>
            <w:vAlign w:val="top"/>
            <w:shd w:fill="F8FAFB"/>
          </w:tcPr>
          <w:p>
            <w:pPr>
              <w:spacing w:after="0"/>
            </w:pPr>
            <w:r>
              <w:rPr>
                <w:rFonts w:ascii="Aptos" w:hAnsi="Aptos"/>
                <w:color w:val="25313B"/>
                <w:sz w:val="16"/>
              </w:rPr>
              <w:t>CL-003C</w:t>
            </w:r>
          </w:p>
        </w:tc>
        <w:tc>
          <w:tcPr>
            <w:tcW w:type="dxa" w:w="4680"/>
            <w:tcMar>
              <w:top w:w="90" w:type="dxa"/>
              <w:start w:w="110" w:type="dxa"/>
              <w:bottom w:w="90" w:type="dxa"/>
              <w:end w:w="110" w:type="dxa"/>
            </w:tcMar>
            <w:vAlign w:val="top"/>
            <w:shd w:fill="F8FAFB"/>
          </w:tcPr>
          <w:p>
            <w:pPr>
              <w:spacing w:after="0"/>
            </w:pPr>
            <w:r>
              <w:rPr>
                <w:rFonts w:ascii="Aptos" w:hAnsi="Aptos"/>
                <w:color w:val="25313B"/>
                <w:sz w:val="16"/>
              </w:rPr>
              <w:t>KPI Configuration Domain</w:t>
            </w:r>
          </w:p>
        </w:tc>
        <w:tc>
          <w:tcPr>
            <w:tcW w:type="dxa" w:w="4680"/>
            <w:tcMar>
              <w:top w:w="90" w:type="dxa"/>
              <w:start w:w="110" w:type="dxa"/>
              <w:bottom w:w="90" w:type="dxa"/>
              <w:end w:w="110" w:type="dxa"/>
            </w:tcMar>
            <w:vAlign w:val="top"/>
            <w:shd w:fill="F8FAFB"/>
          </w:tcPr>
          <w:p>
            <w:pPr>
              <w:spacing w:after="0"/>
            </w:pPr>
            <w:r>
              <w:rPr>
                <w:rFonts w:ascii="Aptos" w:hAnsi="Aptos"/>
                <w:color w:val="25313B"/>
                <w:sz w:val="16"/>
              </w:rPr>
              <w:t>Contratos, lifecycle, CAS, History y proyección alimentada por Tool Projection.</w:t>
            </w:r>
          </w:p>
        </w:tc>
      </w:tr>
      <w:tr>
        <w:trPr>
          <w:cantSplit/>
        </w:trPr>
        <w:tc>
          <w:tcPr>
            <w:tcW w:type="dxa" w:w="1656"/>
            <w:tcMar>
              <w:top w:w="90" w:type="dxa"/>
              <w:start w:w="110" w:type="dxa"/>
              <w:bottom w:w="90" w:type="dxa"/>
              <w:end w:w="110" w:type="dxa"/>
            </w:tcMar>
            <w:vAlign w:val="top"/>
          </w:tcPr>
          <w:p>
            <w:pPr>
              <w:spacing w:after="0"/>
            </w:pPr>
            <w:r>
              <w:rPr>
                <w:rFonts w:ascii="Aptos" w:hAnsi="Aptos"/>
                <w:color w:val="25313B"/>
                <w:sz w:val="16"/>
              </w:rPr>
              <w:t>CL-003C.1</w:t>
            </w:r>
          </w:p>
        </w:tc>
        <w:tc>
          <w:tcPr>
            <w:tcW w:type="dxa" w:w="4680"/>
            <w:tcMar>
              <w:top w:w="90" w:type="dxa"/>
              <w:start w:w="110" w:type="dxa"/>
              <w:bottom w:w="90" w:type="dxa"/>
              <w:end w:w="110" w:type="dxa"/>
            </w:tcMar>
            <w:vAlign w:val="top"/>
          </w:tcPr>
          <w:p>
            <w:pPr>
              <w:spacing w:after="0"/>
            </w:pPr>
            <w:r>
              <w:rPr>
                <w:rFonts w:ascii="Aptos" w:hAnsi="Aptos"/>
                <w:color w:val="25313B"/>
                <w:sz w:val="16"/>
              </w:rPr>
              <w:t>KPI Configuration  -  Manager Adapter</w:t>
            </w:r>
          </w:p>
        </w:tc>
        <w:tc>
          <w:tcPr>
            <w:tcW w:type="dxa" w:w="4680"/>
            <w:tcMar>
              <w:top w:w="90" w:type="dxa"/>
              <w:start w:w="110" w:type="dxa"/>
              <w:bottom w:w="90" w:type="dxa"/>
              <w:end w:w="110" w:type="dxa"/>
            </w:tcMar>
            <w:vAlign w:val="top"/>
          </w:tcPr>
          <w:p>
            <w:pPr>
              <w:spacing w:after="0"/>
            </w:pPr>
            <w:r>
              <w:rPr>
                <w:rFonts w:ascii="Aptos" w:hAnsi="Aptos"/>
                <w:color w:val="25313B"/>
                <w:sz w:val="16"/>
              </w:rPr>
              <w:t>Satisface lifecycle + revision history del Manager.</w:t>
            </w:r>
          </w:p>
        </w:tc>
      </w:tr>
      <w:tr>
        <w:trPr>
          <w:cantSplit/>
        </w:trPr>
        <w:tc>
          <w:tcPr>
            <w:tcW w:type="dxa" w:w="1656"/>
            <w:tcMar>
              <w:top w:w="90" w:type="dxa"/>
              <w:start w:w="110" w:type="dxa"/>
              <w:bottom w:w="90" w:type="dxa"/>
              <w:end w:w="110" w:type="dxa"/>
            </w:tcMar>
            <w:vAlign w:val="top"/>
            <w:shd w:fill="F8FAFB"/>
          </w:tcPr>
          <w:p>
            <w:pPr>
              <w:spacing w:after="0"/>
            </w:pPr>
            <w:r>
              <w:rPr>
                <w:rFonts w:ascii="Aptos" w:hAnsi="Aptos"/>
                <w:color w:val="25313B"/>
                <w:sz w:val="16"/>
              </w:rPr>
              <w:t>CL-003D</w:t>
            </w:r>
          </w:p>
        </w:tc>
        <w:tc>
          <w:tcPr>
            <w:tcW w:type="dxa" w:w="4680"/>
            <w:tcMar>
              <w:top w:w="90" w:type="dxa"/>
              <w:start w:w="110" w:type="dxa"/>
              <w:bottom w:w="90" w:type="dxa"/>
              <w:end w:w="110" w:type="dxa"/>
            </w:tcMar>
            <w:vAlign w:val="top"/>
            <w:shd w:fill="F8FAFB"/>
          </w:tcPr>
          <w:p>
            <w:pPr>
              <w:spacing w:after="0"/>
            </w:pPr>
            <w:r>
              <w:rPr>
                <w:rFonts w:ascii="Aptos" w:hAnsi="Aptos"/>
                <w:color w:val="25313B"/>
                <w:sz w:val="16"/>
              </w:rPr>
              <w:t>KPI Configuration Manager Surface</w:t>
            </w:r>
          </w:p>
        </w:tc>
        <w:tc>
          <w:tcPr>
            <w:tcW w:type="dxa" w:w="4680"/>
            <w:tcMar>
              <w:top w:w="90" w:type="dxa"/>
              <w:start w:w="110" w:type="dxa"/>
              <w:bottom w:w="90" w:type="dxa"/>
              <w:end w:w="110" w:type="dxa"/>
            </w:tcMar>
            <w:vAlign w:val="top"/>
            <w:shd w:fill="F8FAFB"/>
          </w:tcPr>
          <w:p>
            <w:pPr>
              <w:spacing w:after="0"/>
            </w:pPr>
            <w:r>
              <w:rPr>
                <w:rFonts w:ascii="Aptos" w:hAnsi="Aptos"/>
                <w:color w:val="25313B"/>
                <w:sz w:val="16"/>
              </w:rPr>
              <w:t>Configuración de KPI sobre destinos reales de la Tool.</w:t>
            </w:r>
          </w:p>
        </w:tc>
      </w:tr>
      <w:tr>
        <w:trPr>
          <w:cantSplit/>
        </w:trPr>
        <w:tc>
          <w:tcPr>
            <w:tcW w:type="dxa" w:w="1656"/>
            <w:tcMar>
              <w:top w:w="90" w:type="dxa"/>
              <w:start w:w="110" w:type="dxa"/>
              <w:bottom w:w="90" w:type="dxa"/>
              <w:end w:w="110" w:type="dxa"/>
            </w:tcMar>
            <w:vAlign w:val="top"/>
          </w:tcPr>
          <w:p>
            <w:pPr>
              <w:spacing w:after="0"/>
            </w:pPr>
            <w:r>
              <w:rPr>
                <w:rFonts w:ascii="Aptos" w:hAnsi="Aptos"/>
                <w:color w:val="25313B"/>
                <w:sz w:val="16"/>
              </w:rPr>
              <w:t>CL-003E</w:t>
            </w:r>
          </w:p>
        </w:tc>
        <w:tc>
          <w:tcPr>
            <w:tcW w:type="dxa" w:w="4680"/>
            <w:tcMar>
              <w:top w:w="90" w:type="dxa"/>
              <w:start w:w="110" w:type="dxa"/>
              <w:bottom w:w="90" w:type="dxa"/>
              <w:end w:w="110" w:type="dxa"/>
            </w:tcMar>
            <w:vAlign w:val="top"/>
          </w:tcPr>
          <w:p>
            <w:pPr>
              <w:spacing w:after="0"/>
            </w:pPr>
            <w:r>
              <w:rPr>
                <w:rFonts w:ascii="Aptos" w:hAnsi="Aptos"/>
                <w:color w:val="25313B"/>
                <w:sz w:val="16"/>
              </w:rPr>
              <w:t>KPI Definition Upstream Guard + Surface</w:t>
            </w:r>
          </w:p>
        </w:tc>
        <w:tc>
          <w:tcPr>
            <w:tcW w:type="dxa" w:w="4680"/>
            <w:tcMar>
              <w:top w:w="90" w:type="dxa"/>
              <w:start w:w="110" w:type="dxa"/>
              <w:bottom w:w="90" w:type="dxa"/>
              <w:end w:w="110" w:type="dxa"/>
            </w:tcMar>
            <w:vAlign w:val="top"/>
          </w:tcPr>
          <w:p>
            <w:pPr>
              <w:spacing w:after="0"/>
            </w:pPr>
            <w:r>
              <w:rPr>
                <w:rFonts w:ascii="Aptos" w:hAnsi="Aptos"/>
                <w:color w:val="25313B"/>
                <w:sz w:val="16"/>
              </w:rPr>
              <w:t>Definition sólo para KPI configurados; missing definition visible.</w:t>
            </w:r>
          </w:p>
        </w:tc>
      </w:tr>
      <w:tr>
        <w:trPr>
          <w:cantSplit/>
        </w:trPr>
        <w:tc>
          <w:tcPr>
            <w:tcW w:type="dxa" w:w="1656"/>
            <w:tcMar>
              <w:top w:w="90" w:type="dxa"/>
              <w:start w:w="110" w:type="dxa"/>
              <w:bottom w:w="90" w:type="dxa"/>
              <w:end w:w="110" w:type="dxa"/>
            </w:tcMar>
            <w:vAlign w:val="top"/>
            <w:shd w:fill="F8FAFB"/>
          </w:tcPr>
          <w:p>
            <w:pPr>
              <w:spacing w:after="0"/>
            </w:pPr>
            <w:r>
              <w:rPr>
                <w:rFonts w:ascii="Aptos" w:hAnsi="Aptos"/>
                <w:color w:val="25313B"/>
                <w:sz w:val="16"/>
              </w:rPr>
              <w:t>CL-003F</w:t>
            </w:r>
          </w:p>
        </w:tc>
        <w:tc>
          <w:tcPr>
            <w:tcW w:type="dxa" w:w="4680"/>
            <w:tcMar>
              <w:top w:w="90" w:type="dxa"/>
              <w:start w:w="110" w:type="dxa"/>
              <w:bottom w:w="90" w:type="dxa"/>
              <w:end w:w="110" w:type="dxa"/>
            </w:tcMar>
            <w:vAlign w:val="top"/>
            <w:shd w:fill="F8FAFB"/>
          </w:tcPr>
          <w:p>
            <w:pPr>
              <w:spacing w:after="0"/>
            </w:pPr>
            <w:r>
              <w:rPr>
                <w:rFonts w:ascii="Aptos" w:hAnsi="Aptos"/>
                <w:color w:val="25313B"/>
                <w:sz w:val="16"/>
              </w:rPr>
              <w:t>Qualification de cadena Tool→KPI→Definition</w:t>
            </w:r>
          </w:p>
        </w:tc>
        <w:tc>
          <w:tcPr>
            <w:tcW w:type="dxa" w:w="4680"/>
            <w:tcMar>
              <w:top w:w="90" w:type="dxa"/>
              <w:start w:w="110" w:type="dxa"/>
              <w:bottom w:w="90" w:type="dxa"/>
              <w:end w:w="110" w:type="dxa"/>
            </w:tcMar>
            <w:vAlign w:val="top"/>
            <w:shd w:fill="F8FAFB"/>
          </w:tcPr>
          <w:p>
            <w:pPr>
              <w:spacing w:after="0"/>
            </w:pPr>
            <w:r>
              <w:rPr>
                <w:rFonts w:ascii="Aptos" w:hAnsi="Aptos"/>
                <w:color w:val="25313B"/>
                <w:sz w:val="16"/>
              </w:rPr>
              <w:t>E2E de revisiones, invalidación upstream y recuperación histórica.</w:t>
            </w:r>
          </w:p>
        </w:tc>
      </w:tr>
    </w:tbl>
    <w:p>
      <w:pPr>
        <w:spacing w:after="40"/>
      </w:pPr>
    </w:p>
    <w:p>
      <w:r>
        <w:rPr>
          <w:rFonts w:ascii="Aptos" w:hAnsi="Aptos"/>
        </w:rPr>
        <w:t>Después de cerrar la cadena funcional se retoma la etapa UX del Manager. Loader/branding, overlay operacional y paginación no deben adelantarse; pagination continúa al final del bloque Manager.</w:t>
      </w:r>
    </w:p>
    <w:p>
      <w:pPr>
        <w:pStyle w:val="Heading1"/>
      </w:pPr>
      <w:r>
        <w:t>12. Decisiones explícitamente pendientes</w:t>
      </w:r>
    </w:p>
    <w:p>
      <w:pPr>
        <w:pStyle w:val="ListBullet"/>
        <w:spacing w:after="50"/>
      </w:pPr>
      <w:r>
        <w:rPr>
          <w:rFonts w:ascii="Aptos" w:hAnsi="Aptos"/>
          <w:sz w:val="18"/>
        </w:rPr>
        <w:t>Propiedad definitiva de latest_enabled / series_enabled / series_hours frente al dominio Backend KPI Delivery.</w:t>
      </w:r>
    </w:p>
    <w:p>
      <w:pPr>
        <w:pStyle w:val="ListBullet"/>
        <w:spacing w:after="50"/>
      </w:pPr>
      <w:r>
        <w:rPr>
          <w:rFonts w:ascii="Aptos" w:hAnsi="Aptos"/>
          <w:sz w:val="18"/>
        </w:rPr>
        <w:t>Nombre exacto y forma del contrato KpiCatalogProvider que KPI Definition consumirá.</w:t>
      </w:r>
    </w:p>
    <w:p>
      <w:pPr>
        <w:pStyle w:val="ListBullet"/>
        <w:spacing w:after="50"/>
      </w:pPr>
      <w:r>
        <w:rPr>
          <w:rFonts w:ascii="Aptos" w:hAnsi="Aptos"/>
          <w:sz w:val="18"/>
        </w:rPr>
        <w:t>Representación física de MISSING_DEFINITION: placeholder proyectado o documento persistido; la semántica sí está congelada, el mecanismo no.</w:t>
      </w:r>
    </w:p>
    <w:p>
      <w:pPr>
        <w:pStyle w:val="ListBullet"/>
        <w:spacing w:after="50"/>
      </w:pPr>
      <w:r>
        <w:rPr>
          <w:rFonts w:ascii="Aptos" w:hAnsi="Aptos"/>
          <w:sz w:val="18"/>
        </w:rPr>
        <w:t>Forma exacta de los destination keys derivados de Tool Structure; debe partir del contrato real de Tool Projection.</w:t>
      </w:r>
    </w:p>
    <w:p>
      <w:pPr>
        <w:pStyle w:val="ListBullet"/>
        <w:spacing w:after="50"/>
      </w:pPr>
      <w:r>
        <w:rPr>
          <w:rFonts w:ascii="Aptos" w:hAnsi="Aptos"/>
          <w:sz w:val="18"/>
        </w:rPr>
        <w:t>Infraestructura física de Source/Publisher/Projection/History para los nuevos contratos; no seleccionar SharePoint/Cosmos por suposición.</w:t>
      </w:r>
    </w:p>
    <w:p>
      <w:pPr>
        <w:pStyle w:val="ListBullet"/>
        <w:spacing w:after="50"/>
      </w:pPr>
      <w:r>
        <w:rPr>
          <w:rFonts w:ascii="Aptos" w:hAnsi="Aptos"/>
          <w:sz w:val="18"/>
        </w:rPr>
        <w:t>Etiquetas finales y agrupación visual de KPI Configuration y KPI Definition dentro del Manager.</w:t>
      </w:r>
    </w:p>
    <w:p>
      <w:pPr>
        <w:pStyle w:val="Heading1"/>
      </w:pPr>
      <w:r>
        <w:t>13. Prohibiciones derivadas de esta autoridad</w:t>
      </w:r>
    </w:p>
    <w:tbl>
      <w:tblPr>
        <w:tblW w:type="auto" w:w="0"/>
        <w:jc w:val="center"/>
        <w:tblLayout w:type="fixed"/>
        <w:tblLook w:firstColumn="1" w:firstRow="1" w:lastColumn="0" w:lastRow="0" w:noHBand="0" w:noVBand="1" w:val="04A0"/>
      </w:tblPr>
      <w:tblGrid>
        <w:gridCol w:w="4830"/>
        <w:gridCol w:w="4830"/>
      </w:tblGrid>
      <w:tr>
        <w:trPr>
          <w:tblHeader w:val="true"/>
          <w:cantSplit/>
        </w:trPr>
        <w:tc>
          <w:tcPr>
            <w:tcW w:type="dxa" w:w="4680"/>
            <w:shd w:fill="15324A"/>
            <w:tcMar>
              <w:top w:w="90" w:type="dxa"/>
              <w:start w:w="110" w:type="dxa"/>
              <w:bottom w:w="90" w:type="dxa"/>
              <w:end w:w="110" w:type="dxa"/>
            </w:tcMar>
          </w:tcPr>
          <w:p>
            <w:r>
              <w:rPr>
                <w:rFonts w:ascii="Aptos" w:hAnsi="Aptos"/>
                <w:b/>
                <w:color w:val="FFFFFF"/>
                <w:sz w:val="16"/>
              </w:rPr>
              <w:t>No hacer</w:t>
            </w:r>
          </w:p>
        </w:tc>
        <w:tc>
          <w:tcPr>
            <w:tcW w:type="dxa" w:w="6336"/>
            <w:shd w:fill="15324A"/>
            <w:tcMar>
              <w:top w:w="90" w:type="dxa"/>
              <w:start w:w="110" w:type="dxa"/>
              <w:bottom w:w="90" w:type="dxa"/>
              <w:end w:w="110" w:type="dxa"/>
            </w:tcMar>
          </w:tcPr>
          <w:p>
            <w:r>
              <w:rPr>
                <w:rFonts w:ascii="Aptos" w:hAnsi="Aptos"/>
                <w:b/>
                <w:color w:val="FFFFFF"/>
                <w:sz w:val="16"/>
              </w:rPr>
              <w:t>Razón</w:t>
            </w:r>
          </w:p>
        </w:tc>
      </w:tr>
      <w:tr>
        <w:trPr>
          <w:cantSplit/>
        </w:trPr>
        <w:tc>
          <w:tcPr>
            <w:tcW w:type="dxa" w:w="4680"/>
            <w:tcMar>
              <w:top w:w="90" w:type="dxa"/>
              <w:start w:w="110" w:type="dxa"/>
              <w:bottom w:w="90" w:type="dxa"/>
              <w:end w:w="110" w:type="dxa"/>
            </w:tcMar>
            <w:vAlign w:val="top"/>
            <w:shd w:fill="F8FAFB"/>
          </w:tcPr>
          <w:p>
            <w:pPr>
              <w:spacing w:after="0"/>
            </w:pPr>
            <w:r>
              <w:rPr>
                <w:rFonts w:ascii="Aptos" w:hAnsi="Aptos"/>
                <w:color w:val="25313B"/>
                <w:sz w:val="16"/>
              </w:rPr>
              <w:t>Crear Definition antes que el KPI exista en KPI Configuration</w:t>
            </w:r>
          </w:p>
        </w:tc>
        <w:tc>
          <w:tcPr>
            <w:tcW w:type="dxa" w:w="6336"/>
            <w:tcMar>
              <w:top w:w="90" w:type="dxa"/>
              <w:start w:w="110" w:type="dxa"/>
              <w:bottom w:w="90" w:type="dxa"/>
              <w:end w:w="110" w:type="dxa"/>
            </w:tcMar>
            <w:vAlign w:val="top"/>
            <w:shd w:fill="F8FAFB"/>
          </w:tcPr>
          <w:p>
            <w:pPr>
              <w:spacing w:after="0"/>
            </w:pPr>
            <w:r>
              <w:rPr>
                <w:rFonts w:ascii="Aptos" w:hAnsi="Aptos"/>
                <w:color w:val="25313B"/>
                <w:sz w:val="16"/>
              </w:rPr>
              <w:t>Invierte la autoridad y permite identidades huérfanas.</w:t>
            </w:r>
          </w:p>
        </w:tc>
      </w:tr>
      <w:tr>
        <w:trPr>
          <w:cantSplit/>
        </w:trPr>
        <w:tc>
          <w:tcPr>
            <w:tcW w:type="dxa" w:w="4680"/>
            <w:tcMar>
              <w:top w:w="90" w:type="dxa"/>
              <w:start w:w="110" w:type="dxa"/>
              <w:bottom w:w="90" w:type="dxa"/>
              <w:end w:w="110" w:type="dxa"/>
            </w:tcMar>
            <w:vAlign w:val="top"/>
          </w:tcPr>
          <w:p>
            <w:pPr>
              <w:spacing w:after="0"/>
            </w:pPr>
            <w:r>
              <w:rPr>
                <w:rFonts w:ascii="Aptos" w:hAnsi="Aptos"/>
                <w:color w:val="25313B"/>
                <w:sz w:val="16"/>
              </w:rPr>
              <w:t>Hacer que KPI Definition invente/posea el universo de kpi_key</w:t>
            </w:r>
          </w:p>
        </w:tc>
        <w:tc>
          <w:tcPr>
            <w:tcW w:type="dxa" w:w="6336"/>
            <w:tcMar>
              <w:top w:w="90" w:type="dxa"/>
              <w:start w:w="110" w:type="dxa"/>
              <w:bottom w:w="90" w:type="dxa"/>
              <w:end w:w="110" w:type="dxa"/>
            </w:tcMar>
            <w:vAlign w:val="top"/>
          </w:tcPr>
          <w:p>
            <w:pPr>
              <w:spacing w:after="0"/>
            </w:pPr>
            <w:r>
              <w:rPr>
                <w:rFonts w:ascii="Aptos" w:hAnsi="Aptos"/>
                <w:color w:val="25313B"/>
                <w:sz w:val="16"/>
              </w:rPr>
              <w:t>La existencia corresponde a KPI Configuration.</w:t>
            </w:r>
          </w:p>
        </w:tc>
      </w:tr>
      <w:tr>
        <w:trPr>
          <w:cantSplit/>
        </w:trPr>
        <w:tc>
          <w:tcPr>
            <w:tcW w:type="dxa" w:w="4680"/>
            <w:tcMar>
              <w:top w:w="90" w:type="dxa"/>
              <w:start w:w="110" w:type="dxa"/>
              <w:bottom w:w="90" w:type="dxa"/>
              <w:end w:w="110" w:type="dxa"/>
            </w:tcMar>
            <w:vAlign w:val="top"/>
            <w:shd w:fill="F8FAFB"/>
          </w:tcPr>
          <w:p>
            <w:pPr>
              <w:spacing w:after="0"/>
            </w:pPr>
            <w:r>
              <w:rPr>
                <w:rFonts w:ascii="Aptos" w:hAnsi="Aptos"/>
                <w:color w:val="25313B"/>
                <w:sz w:val="16"/>
              </w:rPr>
              <w:t>Construir KPI Configuration contra Components/Subcomponents no proyectados por Tool</w:t>
            </w:r>
          </w:p>
        </w:tc>
        <w:tc>
          <w:tcPr>
            <w:tcW w:type="dxa" w:w="6336"/>
            <w:tcMar>
              <w:top w:w="90" w:type="dxa"/>
              <w:start w:w="110" w:type="dxa"/>
              <w:bottom w:w="90" w:type="dxa"/>
              <w:end w:w="110" w:type="dxa"/>
            </w:tcMar>
            <w:vAlign w:val="top"/>
            <w:shd w:fill="F8FAFB"/>
          </w:tcPr>
          <w:p>
            <w:pPr>
              <w:spacing w:after="0"/>
            </w:pPr>
            <w:r>
              <w:rPr>
                <w:rFonts w:ascii="Aptos" w:hAnsi="Aptos"/>
                <w:color w:val="25313B"/>
                <w:sz w:val="16"/>
              </w:rPr>
              <w:t>Rompe la dependencia Tool → KPI Configuration.</w:t>
            </w:r>
          </w:p>
        </w:tc>
      </w:tr>
      <w:tr>
        <w:trPr>
          <w:cantSplit/>
        </w:trPr>
        <w:tc>
          <w:tcPr>
            <w:tcW w:type="dxa" w:w="4680"/>
            <w:tcMar>
              <w:top w:w="90" w:type="dxa"/>
              <w:start w:w="110" w:type="dxa"/>
              <w:bottom w:w="90" w:type="dxa"/>
              <w:end w:w="110" w:type="dxa"/>
            </w:tcMar>
            <w:vAlign w:val="top"/>
          </w:tcPr>
          <w:p>
            <w:pPr>
              <w:spacing w:after="0"/>
            </w:pPr>
            <w:r>
              <w:rPr>
                <w:rFonts w:ascii="Aptos" w:hAnsi="Aptos"/>
                <w:color w:val="25313B"/>
                <w:sz w:val="16"/>
              </w:rPr>
              <w:t>Persistir placeholders vacíos automáticamente sin decisión explícita</w:t>
            </w:r>
          </w:p>
        </w:tc>
        <w:tc>
          <w:tcPr>
            <w:tcW w:type="dxa" w:w="6336"/>
            <w:tcMar>
              <w:top w:w="90" w:type="dxa"/>
              <w:start w:w="110" w:type="dxa"/>
              <w:bottom w:w="90" w:type="dxa"/>
              <w:end w:w="110" w:type="dxa"/>
            </w:tcMar>
            <w:vAlign w:val="top"/>
          </w:tcPr>
          <w:p>
            <w:pPr>
              <w:spacing w:after="0"/>
            </w:pPr>
            <w:r>
              <w:rPr>
                <w:rFonts w:ascii="Aptos" w:hAnsi="Aptos"/>
                <w:color w:val="25313B"/>
                <w:sz w:val="16"/>
              </w:rPr>
              <w:t>El requisito es diagnóstico; el mecanismo físico sigue abierto.</w:t>
            </w:r>
          </w:p>
        </w:tc>
      </w:tr>
      <w:tr>
        <w:trPr>
          <w:cantSplit/>
        </w:trPr>
        <w:tc>
          <w:tcPr>
            <w:tcW w:type="dxa" w:w="4680"/>
            <w:tcMar>
              <w:top w:w="90" w:type="dxa"/>
              <w:start w:w="110" w:type="dxa"/>
              <w:bottom w:w="90" w:type="dxa"/>
              <w:end w:w="110" w:type="dxa"/>
            </w:tcMar>
            <w:vAlign w:val="top"/>
            <w:shd w:fill="F8FAFB"/>
          </w:tcPr>
          <w:p>
            <w:pPr>
              <w:spacing w:after="0"/>
            </w:pPr>
            <w:r>
              <w:rPr>
                <w:rFonts w:ascii="Aptos" w:hAnsi="Aptos"/>
                <w:color w:val="25313B"/>
                <w:sz w:val="16"/>
              </w:rPr>
              <w:t>Copiar el package legacy ada.configuration.kpis tal cual</w:t>
            </w:r>
          </w:p>
        </w:tc>
        <w:tc>
          <w:tcPr>
            <w:tcW w:type="dxa" w:w="6336"/>
            <w:tcMar>
              <w:top w:w="90" w:type="dxa"/>
              <w:start w:w="110" w:type="dxa"/>
              <w:bottom w:w="90" w:type="dxa"/>
              <w:end w:w="110" w:type="dxa"/>
            </w:tcMar>
            <w:vAlign w:val="top"/>
            <w:shd w:fill="F8FAFB"/>
          </w:tcPr>
          <w:p>
            <w:pPr>
              <w:spacing w:after="0"/>
            </w:pPr>
            <w:r>
              <w:rPr>
                <w:rFonts w:ascii="Aptos" w:hAnsi="Aptos"/>
                <w:color w:val="25313B"/>
                <w:sz w:val="16"/>
              </w:rPr>
              <w:t>Sólo sirve como precedente conceptual; la arquitectura canónica cambió.</w:t>
            </w:r>
          </w:p>
        </w:tc>
      </w:tr>
      <w:tr>
        <w:trPr>
          <w:cantSplit/>
        </w:trPr>
        <w:tc>
          <w:tcPr>
            <w:tcW w:type="dxa" w:w="4680"/>
            <w:tcMar>
              <w:top w:w="90" w:type="dxa"/>
              <w:start w:w="110" w:type="dxa"/>
              <w:bottom w:w="90" w:type="dxa"/>
              <w:end w:w="110" w:type="dxa"/>
            </w:tcMar>
            <w:vAlign w:val="top"/>
          </w:tcPr>
          <w:p>
            <w:pPr>
              <w:spacing w:after="0"/>
            </w:pPr>
            <w:r>
              <w:rPr>
                <w:rFonts w:ascii="Aptos" w:hAnsi="Aptos"/>
                <w:color w:val="25313B"/>
                <w:sz w:val="16"/>
              </w:rPr>
              <w:t>Reintroducir selector/default de Tool en Manager</w:t>
            </w:r>
          </w:p>
        </w:tc>
        <w:tc>
          <w:tcPr>
            <w:tcW w:type="dxa" w:w="6336"/>
            <w:tcMar>
              <w:top w:w="90" w:type="dxa"/>
              <w:start w:w="110" w:type="dxa"/>
              <w:bottom w:w="90" w:type="dxa"/>
              <w:end w:w="110" w:type="dxa"/>
            </w:tcMar>
            <w:vAlign w:val="top"/>
          </w:tcPr>
          <w:p>
            <w:pPr>
              <w:spacing w:after="0"/>
            </w:pPr>
            <w:r>
              <w:rPr>
                <w:rFonts w:ascii="Aptos" w:hAnsi="Aptos"/>
                <w:color w:val="25313B"/>
                <w:sz w:val="16"/>
              </w:rPr>
              <w:t>La Tool pertenece a la aplicación; no es una colección elegible.</w:t>
            </w:r>
          </w:p>
        </w:tc>
      </w:tr>
      <w:tr>
        <w:trPr>
          <w:cantSplit/>
        </w:trPr>
        <w:tc>
          <w:tcPr>
            <w:tcW w:type="dxa" w:w="4680"/>
            <w:tcMar>
              <w:top w:w="90" w:type="dxa"/>
              <w:start w:w="110" w:type="dxa"/>
              <w:bottom w:w="90" w:type="dxa"/>
              <w:end w:w="110" w:type="dxa"/>
            </w:tcMar>
            <w:vAlign w:val="top"/>
            <w:shd w:fill="F8FAFB"/>
          </w:tcPr>
          <w:p>
            <w:pPr>
              <w:spacing w:after="0"/>
            </w:pPr>
            <w:r>
              <w:rPr>
                <w:rFonts w:ascii="Aptos" w:hAnsi="Aptos"/>
                <w:color w:val="25313B"/>
                <w:sz w:val="16"/>
              </w:rPr>
              <w:t>Fusionar Definition con Delivery/runtime</w:t>
            </w:r>
          </w:p>
        </w:tc>
        <w:tc>
          <w:tcPr>
            <w:tcW w:type="dxa" w:w="6336"/>
            <w:tcMar>
              <w:top w:w="90" w:type="dxa"/>
              <w:start w:w="110" w:type="dxa"/>
              <w:bottom w:w="90" w:type="dxa"/>
              <w:end w:w="110" w:type="dxa"/>
            </w:tcMar>
            <w:vAlign w:val="top"/>
            <w:shd w:fill="F8FAFB"/>
          </w:tcPr>
          <w:p>
            <w:pPr>
              <w:spacing w:after="0"/>
            </w:pPr>
            <w:r>
              <w:rPr>
                <w:rFonts w:ascii="Aptos" w:hAnsi="Aptos"/>
                <w:color w:val="25313B"/>
                <w:sz w:val="16"/>
              </w:rPr>
              <w:t>Descripción, placement y cálculo son responsabilidades distintas.</w:t>
            </w:r>
          </w:p>
        </w:tc>
      </w:tr>
    </w:tbl>
    <w:p>
      <w:pPr>
        <w:spacing w:after="40"/>
      </w:pPr>
    </w:p>
    <w:p>
      <w:pPr>
        <w:pStyle w:val="Heading1"/>
      </w:pPr>
      <w:r>
        <w:t>14. Evidencia y linaje conceptual</w:t>
      </w:r>
    </w:p>
    <w:p>
      <w:r>
        <w:rPr>
          <w:rFonts w:ascii="Aptos" w:hAnsi="Aptos"/>
        </w:rPr>
        <w:t>El audit read-only del baseline fijo de atlanticus-multi-stage confirmó que el diseño histórico de configuración KPI ya distinguía KpiConfiguration/KpiBinding de destinos derivados de una Tool Projection y retenía tool_projection_revision durante validación/proyección. Esa evidencia se utiliza sólo como precedente semántico.</w:t>
      </w:r>
    </w:p>
    <w:p>
      <w:r>
        <w:rPr>
          <w:rFonts w:ascii="Aptos" w:hAnsi="Aptos"/>
        </w:rPr>
        <w:t>El canónico actual de kpi-definition confirma la otra mitad de la separación: KpiDefinition contiene kpi_key y fields descriptivos, sin Components/Subcomponents ni destinos de Tool. Esa implementación se conserva y se endurecerá con la autoridad upstream de KPI Configuration.</w:t>
      </w:r>
    </w:p>
    <w:p>
      <w:r>
        <w:rPr>
          <w:rFonts w:ascii="Aptos" w:hAnsi="Aptos"/>
        </w:rPr>
        <w:t>No se afirma en este documento que los cambios locales posteriores a CL-003A estén committeados o pusheados al remoto. GitHub sigue utilizándose únicamente para lectura/auditoría dentro de este flujo.</w:t>
      </w:r>
    </w:p>
    <w:p>
      <w:pPr>
        <w:pStyle w:val="Heading1"/>
      </w:pPr>
      <w:r>
        <w:t>15. Punto exacto de reanudación</w:t>
      </w:r>
    </w:p>
    <w:p>
      <w:pPr>
        <w:pStyle w:val="CodeBlock"/>
        <w:keepLines/>
        <w:shd w:fill="F3F5F7"/>
        <w:spacing w:before="40" w:after="80" w:line="228" w:lineRule="auto"/>
      </w:pPr>
      <w:r>
        <w:rPr>
          <w:rFonts w:ascii="Liberation Mono" w:hAnsi="Liberation Mono"/>
          <w:color w:val="25313B"/>
          <w:sz w:val="16"/>
        </w:rPr>
      </w:r>
      <w:r>
        <w:rPr>
          <w:rFonts w:ascii="Liberation Mono" w:hAnsi="Liberation Mono"/>
          <w:sz w:val="16"/>
        </w:rPr>
        <w:t>Último cierre: CL-003A = GREEN</w:t>
        <w:br/>
        <w:t>CL-003B r1: APLICADO; gate todavía no reportado</w:t>
        <w:br/>
        <w:br/>
        <w:t>Reanudar:</w:t>
        <w:br/>
        <w:t xml:space="preserve">  1. Confirmar gate CL-003B.</w:t>
        <w:br/>
        <w:t xml:space="preserve">  2. Si GREEN -&gt; CL-003B.1 Tool Structure Manager.</w:t>
        <w:br/>
        <w:t xml:space="preserve">  3. KPI Configuration sólo después de Tool Structure/Projection autoritativa.</w:t>
        <w:br/>
        <w:t xml:space="preserve">  4. Luego: Tool -&gt; KPI Configuration -&gt; KPI Definition -&gt; Inspection.</w:t>
      </w:r>
    </w:p>
    <w:p>
      <w:r>
        <w:rPr>
          <w:rFonts w:ascii="Aptos" w:hAnsi="Aptos"/>
        </w:rPr>
        <w:t>Este documento debe utilizarse como referencia de reanudación. En caso de conflicto con formulaciones previas del roadmap CL-002/CL-003 sobre Tool/KPI, prevalece esta decisión.</w:t>
      </w:r>
    </w:p>
    <w:sectPr w:rsidR="00FC693F" w:rsidRPr="0006063C" w:rsidSect="00034616">
      <w:headerReference w:type="default" r:id="rId9"/>
      <w:footerReference w:type="default" r:id="rId10"/>
      <w:pgSz w:w="11906" w:h="16838"/>
      <w:pgMar w:top="1037" w:right="1123" w:bottom="979"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973"/>
        <w:sz w:val="14"/>
      </w:rPr>
      <w:t>Checkpoint autoritativo · 01-09-2026 · Tool / KPI / Manager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973"/>
        <w:sz w:val="15"/>
      </w:rPr>
      <w:t>ATLANTICUS  ·  ADA  ·  AUTORIDAD DE ARQUITECTURA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253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15324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45A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15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173"/>
    </w:pPr>
    <w:rPr>
      <w:rFonts w:ascii="Liberation Mono" w:hAnsi="Liberation Mono"/>
      <w:color w:val="25313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Atlanticus Manager - Autoridad Tool KPI CL-003</dc:title>
  <dc:subject>Decisión arquitectónica autoritativa Tool → KPI Configuration → KPI Definition</dc:subject>
  <dc:creator/>
  <cp:keywords>Atlanticus, ADA, Manager, Tool Configuration, KPI Configuration, KPI Definition</cp:keywords>
  <dc:description>Documento de estado técnico del proyecto.</dc:description>
  <cp:lastModifiedBy/>
  <cp:revision>1</cp:revision>
  <dcterms:created xsi:type="dcterms:W3CDTF">2013-12-23T23:15:00Z</dcterms:created>
  <dcterms:modified xsi:type="dcterms:W3CDTF">2013-12-23T23:15:00Z</dcterms:modified>
  <cp:category/>
</cp:coreProperties>
</file>