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ascii="Arial" w:hAnsi="Arial"/>
          <w:b/>
          <w:color w:val="B9953F"/>
          <w:sz w:val="22"/>
        </w:rPr>
        <w:t>ATLANTICUS</w:t>
      </w:r>
    </w:p>
    <w:p>
      <w:pPr>
        <w:pStyle w:val="Title"/>
        <w:widowControl/>
        <w:jc w:val="left"/>
      </w:pPr>
      <w:r>
        <w:t>Estado del Manager</w:t>
        <w:br/>
        <w:t>Checkpoint CL-002 completado</w:t>
      </w:r>
    </w:p>
    <w:p>
      <w:pPr>
        <w:widowControl/>
        <w:spacing w:after="240"/>
      </w:pPr>
      <w:r>
        <w:rPr>
          <w:color w:val="5D6670"/>
          <w:sz w:val="22"/>
        </w:rPr>
        <w:t>Atlanticus / ADA · Base canónica de administración modular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061"/>
            <w:shd w:fill="18324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061"/>
            <w:shd w:fill="18324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061"/>
            <w:shd w:fill="18324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SIGUIENTE</w:t>
            </w:r>
          </w:p>
        </w:tc>
      </w:tr>
      <w:tr>
        <w:tc>
          <w:tcPr>
            <w:tcW w:type="dxa" w:w="3061"/>
            <w:shd w:fill="E8F3E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GREEN</w:t>
            </w:r>
          </w:p>
        </w:tc>
        <w:tc>
          <w:tcPr>
            <w:tcW w:type="dxa" w:w="3061"/>
            <w:shd w:fill="EAF0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8324A"/>
                <w:sz w:val="20"/>
              </w:rPr>
              <w:t>1 de septiembre de 2026</w:t>
            </w:r>
          </w:p>
        </w:tc>
        <w:tc>
          <w:tcPr>
            <w:tcW w:type="dxa" w:w="3061"/>
            <w:shd w:fill="EAF0F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8324A"/>
                <w:sz w:val="20"/>
              </w:rPr>
              <w:t>CL-003</w:t>
            </w:r>
          </w:p>
        </w:tc>
      </w:tr>
    </w:tbl>
    <w:p>
      <w:pPr>
        <w:widowControl/>
      </w:pPr>
    </w:p>
    <w:p>
      <w:pPr>
        <w:widowControl/>
        <w:spacing w:after="80"/>
      </w:pPr>
      <w:r>
        <w:rPr>
          <w:b/>
          <w:color w:val="18324A"/>
        </w:rPr>
        <w:t>Autoridad de este checkpoint</w:t>
      </w:r>
      <w:r>
        <w:t>: gates locales reportados GREEN durante la sesión y auditoría read-only de contratos/repositorios realizada antes de cada incremento.</w:t>
      </w:r>
    </w:p>
    <w:p>
      <w:pPr>
        <w:widowControl/>
        <w:spacing w:after="0"/>
      </w:pPr>
      <w:r>
        <w:rPr>
          <w:b/>
          <w:color w:val="18324A"/>
        </w:rPr>
        <w:t>Límite de la afirmación</w:t>
      </w:r>
      <w:r>
        <w:t>: este documento no confirma que todos los incrementos estén committeados o pusheados al remoto; registra el estado funcional validado del trabajo realizado.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Resumen ejecutivo</w:t>
      </w:r>
    </w:p>
    <w:p>
      <w:pPr>
        <w:widowControl/>
      </w:pPr>
      <w:r>
        <w:rPr>
          <w:b/>
        </w:rPr>
        <w:t xml:space="preserve">El bloque CL-002 queda cerrado completamente en estado GREEN. </w:t>
      </w:r>
      <w:r>
        <w:t>La base genérica de Manager ya está aterrizada en Atlanticus y los cuatro dominios que formarán el Manager de ADA (Users, Navigation, Tools y KPI) disponen del ciclo administrativo necesario, incluyendo recuperación de revisiones. CL-002F completa la frontera ADA↔Manager mediante adapters delgados sin trasladar reglas de negocio a la aplicación.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Atlanticus Manager (genérico)</w:t>
        <w:br/>
        <w:t xml:space="preserve">        ↑</w:t>
        <w:br/>
        <w:t>ADA Manager Workflow Adapters</w:t>
        <w:br/>
        <w:t xml:space="preserve">        ↑</w:t>
        <w:br/>
        <w:t>Users | Navigation | Tools | KPI</w:t>
        <w:br/>
        <w:t xml:space="preserve">        ↑</w:t>
        <w:br/>
        <w:t>Source / Publish / Projection / Revision History</w:t>
      </w:r>
    </w:p>
    <w:p>
      <w:pPr>
        <w:widowControl/>
      </w:pPr>
      <w:r>
        <w:rPr>
          <w:b/>
        </w:rPr>
        <w:t xml:space="preserve">Resultado arquitectónico: </w:t>
      </w:r>
      <w:r>
        <w:t>Atlanticus conserva un Manager reusable y desacoplado de ADA; ADA aporta únicamente sus dominios, adapters y, a partir de CL-003, su composition root concreta.</w:t>
      </w:r>
    </w:p>
    <w:p>
      <w:pPr>
        <w:pStyle w:val="Heading1"/>
        <w:widowControl/>
      </w:pPr>
      <w:r>
        <w:t>2. Estado de incrementos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Incremento</w:t>
            </w:r>
          </w:p>
        </w:tc>
        <w:tc>
          <w:tcPr>
            <w:tcW w:type="dxa" w:w="2948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1020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969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CL-001</w:t>
            </w:r>
          </w:p>
        </w:tc>
        <w:tc>
          <w:tcPr>
            <w:tcW w:type="dxa" w:w="294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Manager Framework</w:t>
            </w:r>
          </w:p>
        </w:tc>
        <w:tc>
          <w:tcPr>
            <w:tcW w:type="dxa" w:w="102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Landing canónico del framework genérico Manager.</w:t>
            </w:r>
          </w:p>
        </w:tc>
      </w:tr>
      <w:tr>
        <w:tc>
          <w:tcPr>
            <w:tcW w:type="dxa" w:w="113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CL-002A</w:t>
            </w:r>
          </w:p>
        </w:tc>
        <w:tc>
          <w:tcPr>
            <w:tcW w:type="dxa" w:w="294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Navigation Configuration</w:t>
            </w:r>
          </w:p>
        </w:tc>
        <w:tc>
          <w:tcPr>
            <w:tcW w:type="dxa" w:w="102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Clean landing 0.1.5.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CL-002B</w:t>
            </w:r>
          </w:p>
        </w:tc>
        <w:tc>
          <w:tcPr>
            <w:tcW w:type="dxa" w:w="294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Users Core</w:t>
            </w:r>
          </w:p>
        </w:tc>
        <w:tc>
          <w:tcPr>
            <w:tcW w:type="dxa" w:w="102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Clean landing 0.1.0.</w:t>
            </w:r>
          </w:p>
        </w:tc>
      </w:tr>
      <w:tr>
        <w:tc>
          <w:tcPr>
            <w:tcW w:type="dxa" w:w="113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CL-002C</w:t>
            </w:r>
          </w:p>
        </w:tc>
        <w:tc>
          <w:tcPr>
            <w:tcW w:type="dxa" w:w="294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Users Configuration</w:t>
            </w:r>
          </w:p>
        </w:tc>
        <w:tc>
          <w:tcPr>
            <w:tcW w:type="dxa" w:w="102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Clean landing 0.1.6.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CL-002D</w:t>
            </w:r>
          </w:p>
        </w:tc>
        <w:tc>
          <w:tcPr>
            <w:tcW w:type="dxa" w:w="294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KPI Definition Lifecycle</w:t>
            </w:r>
          </w:p>
        </w:tc>
        <w:tc>
          <w:tcPr>
            <w:tcW w:type="dxa" w:w="102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Lifecycle Source/Publish/Projection.</w:t>
            </w:r>
          </w:p>
        </w:tc>
      </w:tr>
      <w:tr>
        <w:tc>
          <w:tcPr>
            <w:tcW w:type="dxa" w:w="113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CL-002D.1</w:t>
            </w:r>
          </w:p>
        </w:tc>
        <w:tc>
          <w:tcPr>
            <w:tcW w:type="dxa" w:w="294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KPI Revision History</w:t>
            </w:r>
          </w:p>
        </w:tc>
        <w:tc>
          <w:tcPr>
            <w:tcW w:type="dxa" w:w="102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Listado y recuperación de revisiones.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CL-002E</w:t>
            </w:r>
          </w:p>
        </w:tc>
        <w:tc>
          <w:tcPr>
            <w:tcW w:type="dxa" w:w="294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Tool Configuration Lifecycle</w:t>
            </w:r>
          </w:p>
        </w:tc>
        <w:tc>
          <w:tcPr>
            <w:tcW w:type="dxa" w:w="102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Lifecycle por Tool individual.</w:t>
            </w:r>
          </w:p>
        </w:tc>
      </w:tr>
      <w:tr>
        <w:tc>
          <w:tcPr>
            <w:tcW w:type="dxa" w:w="113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CL-002E.1</w:t>
            </w:r>
          </w:p>
        </w:tc>
        <w:tc>
          <w:tcPr>
            <w:tcW w:type="dxa" w:w="294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Tool Revision History</w:t>
            </w:r>
          </w:p>
        </w:tc>
        <w:tc>
          <w:tcPr>
            <w:tcW w:type="dxa" w:w="102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Listado y recuperación de revisiones.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CL-002F</w:t>
            </w:r>
          </w:p>
        </w:tc>
        <w:tc>
          <w:tcPr>
            <w:tcW w:type="dxa" w:w="294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ADA Manager Workflow Adapters</w:t>
            </w:r>
          </w:p>
        </w:tc>
        <w:tc>
          <w:tcPr>
            <w:tcW w:type="dxa" w:w="102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  <w:tc>
          <w:tcPr>
            <w:tcW w:type="dxa" w:w="396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Adapters para los cuatro dominios.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Topología canónica consolidada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web/</w:t>
        <w:br/>
        <w:t>├── capabilities/</w:t>
        <w:br/>
        <w:t>│   ├── manager/                         atlanticus-web-manager==0.3.12</w:t>
        <w:br/>
        <w:t>│   ├── navigation/</w:t>
        <w:br/>
        <w:t>│   │   ├── core/</w:t>
        <w:br/>
        <w:t>│   │   └── configuration/              0.1.5</w:t>
        <w:br/>
        <w:t>│   └── users/</w:t>
        <w:br/>
        <w:t>│       ├── core/                       0.1.0</w:t>
        <w:br/>
        <w:t>│       └── configuration/              0.1.6</w:t>
        <w:br/>
        <w:t>└── ...</w:t>
        <w:br/>
        <w:br/>
        <w:t>scopes/ada/web/</w:t>
        <w:br/>
        <w:t>├── configuration/</w:t>
        <w:br/>
        <w:t>│   ├── kpi-definition/                 0.3.0</w:t>
        <w:br/>
        <w:t>│   ├── tools/                          0.3.0</w:t>
        <w:br/>
        <w:t>│   ├── tools-lifecycle/                0.2.0</w:t>
        <w:br/>
        <w:t>│   ├── tool-editor/                    sin cambios</w:t>
        <w:br/>
        <w:t>│   └── manager-tools/                  sin persistencia/proyección</w:t>
        <w:br/>
        <w:t>└── application/</w:t>
        <w:br/>
        <w:t xml:space="preserve">    ├── ada-generic-application/        operacional existente</w:t>
        <w:br/>
        <w:t xml:space="preserve">    └── ada-configuration-manager/      0.1.0 (backend adapters, CL-002F)</w:t>
      </w:r>
    </w:p>
    <w:p>
      <w:pPr>
        <w:widowControl/>
      </w:pPr>
      <w:r>
        <w:rPr>
          <w:b/>
        </w:rPr>
        <w:t xml:space="preserve">Separación clave: </w:t>
      </w:r>
      <w:r>
        <w:t>`web/capabilities/manager` permanece genérico. La aplicación ADA vive bajo `scopes/ada/web/application`, mientras los contratos específicos de KPI y Tools permanecen bajo `scopes/ada/web/configuration`.</w:t>
      </w:r>
    </w:p>
    <w:p>
      <w:pPr>
        <w:pStyle w:val="Heading1"/>
        <w:widowControl/>
      </w:pPr>
      <w:r>
        <w:t>4. Matriz de paquetes y contratos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268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Responsabilidad</w:t>
            </w:r>
          </w:p>
        </w:tc>
        <w:tc>
          <w:tcPr>
            <w:tcW w:type="dxa" w:w="2835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Package</w:t>
            </w:r>
          </w:p>
        </w:tc>
        <w:tc>
          <w:tcPr>
            <w:tcW w:type="dxa" w:w="850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Versión</w:t>
            </w:r>
          </w:p>
        </w:tc>
        <w:tc>
          <w:tcPr>
            <w:tcW w:type="dxa" w:w="3458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Ubicación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Atlanticus Manager</w:t>
            </w:r>
          </w:p>
        </w:tc>
        <w:tc>
          <w:tcPr>
            <w:tcW w:type="dxa" w:w="2835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atlanticus-web-manager</w:t>
            </w:r>
          </w:p>
        </w:tc>
        <w:tc>
          <w:tcPr>
            <w:tcW w:type="dxa" w:w="8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0.3.12</w:t>
            </w:r>
          </w:p>
        </w:tc>
        <w:tc>
          <w:tcPr>
            <w:tcW w:type="dxa" w:w="345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web/capabilities/manager</w:t>
            </w:r>
          </w:p>
        </w:tc>
      </w:tr>
      <w:tr>
        <w:tc>
          <w:tcPr>
            <w:tcW w:type="dxa" w:w="226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Navigation Configuration</w:t>
            </w:r>
          </w:p>
        </w:tc>
        <w:tc>
          <w:tcPr>
            <w:tcW w:type="dxa" w:w="2835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atlanticus-web-navigation-configuration</w:t>
            </w:r>
          </w:p>
        </w:tc>
        <w:tc>
          <w:tcPr>
            <w:tcW w:type="dxa" w:w="8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0.1.5</w:t>
            </w:r>
          </w:p>
        </w:tc>
        <w:tc>
          <w:tcPr>
            <w:tcW w:type="dxa" w:w="345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web/capabilities/navigation/configuration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Users Core</w:t>
            </w:r>
          </w:p>
        </w:tc>
        <w:tc>
          <w:tcPr>
            <w:tcW w:type="dxa" w:w="2835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atlanticus-web-users</w:t>
            </w:r>
          </w:p>
        </w:tc>
        <w:tc>
          <w:tcPr>
            <w:tcW w:type="dxa" w:w="8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0.1.0</w:t>
            </w:r>
          </w:p>
        </w:tc>
        <w:tc>
          <w:tcPr>
            <w:tcW w:type="dxa" w:w="345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web/capabilities/users/core</w:t>
            </w:r>
          </w:p>
        </w:tc>
      </w:tr>
      <w:tr>
        <w:tc>
          <w:tcPr>
            <w:tcW w:type="dxa" w:w="226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Users Configuration</w:t>
            </w:r>
          </w:p>
        </w:tc>
        <w:tc>
          <w:tcPr>
            <w:tcW w:type="dxa" w:w="2835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atlanticus-web-users-configuration</w:t>
            </w:r>
          </w:p>
        </w:tc>
        <w:tc>
          <w:tcPr>
            <w:tcW w:type="dxa" w:w="8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0.1.6</w:t>
            </w:r>
          </w:p>
        </w:tc>
        <w:tc>
          <w:tcPr>
            <w:tcW w:type="dxa" w:w="345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web/capabilities/users/configuration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KPI Definition</w:t>
            </w:r>
          </w:p>
        </w:tc>
        <w:tc>
          <w:tcPr>
            <w:tcW w:type="dxa" w:w="2835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ada-configuration-kpi-definition</w:t>
            </w:r>
          </w:p>
        </w:tc>
        <w:tc>
          <w:tcPr>
            <w:tcW w:type="dxa" w:w="8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0.3.0</w:t>
            </w:r>
          </w:p>
        </w:tc>
        <w:tc>
          <w:tcPr>
            <w:tcW w:type="dxa" w:w="345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scopes/ada/web/configuration/kpi-definition</w:t>
            </w:r>
          </w:p>
        </w:tc>
      </w:tr>
      <w:tr>
        <w:tc>
          <w:tcPr>
            <w:tcW w:type="dxa" w:w="226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Tool Configuration</w:t>
            </w:r>
          </w:p>
        </w:tc>
        <w:tc>
          <w:tcPr>
            <w:tcW w:type="dxa" w:w="2835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ada-configuration-tools</w:t>
            </w:r>
          </w:p>
        </w:tc>
        <w:tc>
          <w:tcPr>
            <w:tcW w:type="dxa" w:w="8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0.3.0</w:t>
            </w:r>
          </w:p>
        </w:tc>
        <w:tc>
          <w:tcPr>
            <w:tcW w:type="dxa" w:w="345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scopes/ada/web/configuration/tools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Tools Lifecycle</w:t>
            </w:r>
          </w:p>
        </w:tc>
        <w:tc>
          <w:tcPr>
            <w:tcW w:type="dxa" w:w="2835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ada-configuration-tools-lifecycle</w:t>
            </w:r>
          </w:p>
        </w:tc>
        <w:tc>
          <w:tcPr>
            <w:tcW w:type="dxa" w:w="8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0.2.0</w:t>
            </w:r>
          </w:p>
        </w:tc>
        <w:tc>
          <w:tcPr>
            <w:tcW w:type="dxa" w:w="3458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scopes/ada/web/configuration/tools-lifecycle</w:t>
            </w:r>
          </w:p>
        </w:tc>
      </w:tr>
      <w:tr>
        <w:tc>
          <w:tcPr>
            <w:tcW w:type="dxa" w:w="226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ADA Configuration Manager</w:t>
            </w:r>
          </w:p>
        </w:tc>
        <w:tc>
          <w:tcPr>
            <w:tcW w:type="dxa" w:w="2835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ada-configuration-manager</w:t>
            </w:r>
          </w:p>
        </w:tc>
        <w:tc>
          <w:tcPr>
            <w:tcW w:type="dxa" w:w="8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0.1.0</w:t>
            </w:r>
          </w:p>
        </w:tc>
        <w:tc>
          <w:tcPr>
            <w:tcW w:type="dxa" w:w="3458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scopes/ada/web/application/ada-configuration-manager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Ciclo obligatorio de todo módulo Manager</w:t>
      </w:r>
    </w:p>
    <w:p>
      <w:pPr>
        <w:widowControl/>
      </w:pPr>
      <w:r>
        <w:rPr>
          <w:b/>
        </w:rPr>
        <w:t xml:space="preserve">Decisión congelada: </w:t>
      </w:r>
      <w:r>
        <w:t>todo módulo que se incorpore al Manager debe adaptar el ciclo administrativo completo y debe soportar recuperación de revisiones. History no es una capacidad opcional para los módulos administrados.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Workspace</w:t>
        <w:br/>
        <w:t xml:space="preserve">   ↓</w:t>
        <w:br/>
        <w:t>Draft</w:t>
        <w:br/>
        <w:t xml:space="preserve">   ↓</w:t>
        <w:br/>
        <w:t>Validate</w:t>
        <w:br/>
        <w:t xml:space="preserve">   ↓</w:t>
        <w:br/>
        <w:t>Verify Source</w:t>
        <w:br/>
        <w:t xml:space="preserve">   ↓</w:t>
        <w:br/>
        <w:t>Publish Source</w:t>
        <w:br/>
        <w:t xml:space="preserve">   ↓</w:t>
        <w:br/>
        <w:t>Project</w:t>
        <w:br/>
        <w:t xml:space="preserve">   ↓</w:t>
        <w:br/>
        <w:t>History / Revision Recovery</w:t>
      </w:r>
    </w:p>
    <w:p>
      <w:pPr>
        <w:widowControl/>
      </w:pPr>
      <w:r>
        <w:rPr>
          <w:b/>
        </w:rPr>
        <w:t xml:space="preserve">Recuperar una revisión no equivale a restaurarla automáticamente. </w:t>
      </w:r>
      <w:r>
        <w:t>Una revisión histórica vuelve al Workspace/Draft. Para convertirse nuevamente en Source vigente debe pasar otra vez por validación, verificación de Source, publicación con control de concurrencia y proyección.</w:t>
      </w:r>
    </w:p>
    <w:p>
      <w:pPr>
        <w:pStyle w:val="Heading2"/>
        <w:widowControl/>
      </w:pPr>
      <w:r>
        <w:t>5.1 Contratos Manager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ConfigurationLifecycleWorkflow</w:t>
        <w:br/>
        <w:t xml:space="preserve">  get_status()</w:t>
        <w:br/>
        <w:t xml:space="preserve">  validate_draft(payload)</w:t>
        <w:br/>
        <w:t xml:space="preserve">  publish_draft(payload, expected_source_revision)</w:t>
        <w:br/>
        <w:t xml:space="preserve">  project(expected_source_revision)</w:t>
        <w:br/>
        <w:br/>
        <w:t>RevisionHistoryWorkflow</w:t>
        <w:br/>
        <w:t xml:space="preserve">  list_history(limit=20)</w:t>
        <w:br/>
        <w:t xml:space="preserve">  load_revision(revision)</w:t>
      </w:r>
    </w:p>
    <w:p>
      <w:pPr>
        <w:pStyle w:val="Heading1"/>
        <w:widowControl/>
      </w:pPr>
      <w:r>
        <w:t>6. Cobertura por dominio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701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1247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Validate</w:t>
            </w:r>
          </w:p>
        </w:tc>
        <w:tc>
          <w:tcPr>
            <w:tcW w:type="dxa" w:w="1247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Publish</w:t>
            </w:r>
          </w:p>
        </w:tc>
        <w:tc>
          <w:tcPr>
            <w:tcW w:type="dxa" w:w="1247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1247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History</w:t>
            </w:r>
          </w:p>
        </w:tc>
        <w:tc>
          <w:tcPr>
            <w:tcW w:type="dxa" w:w="1871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Adapter Manager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6"/>
              </w:rPr>
              <w:t>Users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87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</w:tr>
      <w:tr>
        <w:tc>
          <w:tcPr>
            <w:tcW w:type="dxa" w:w="170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6"/>
              </w:rPr>
              <w:t>Navigation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87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6"/>
              </w:rPr>
              <w:t>Tools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87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</w:tr>
      <w:tr>
        <w:tc>
          <w:tcPr>
            <w:tcW w:type="dxa" w:w="170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6"/>
              </w:rPr>
              <w:t>KPI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24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  <w:tc>
          <w:tcPr>
            <w:tcW w:type="dxa" w:w="187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6"/>
              </w:rPr>
              <w:t>Sí</w:t>
            </w:r>
          </w:p>
        </w:tc>
      </w:tr>
    </w:tbl>
    <w:p>
      <w:pPr>
        <w:widowControl/>
        <w:spacing w:after="0"/>
      </w:pPr>
    </w:p>
    <w:p>
      <w:pPr>
        <w:pStyle w:val="Heading1"/>
        <w:pageBreakBefore/>
        <w:widowControl/>
      </w:pPr>
      <w:r>
        <w:t>7. Decisiones arquitectónicas consolidadas</w:t>
      </w:r>
    </w:p>
    <w:p>
      <w:pPr>
        <w:pStyle w:val="ListBullet"/>
        <w:widowControl/>
        <w:spacing w:after="60"/>
      </w:pPr>
      <w:r>
        <w:t>El Manager es una capability genérica de Atlanticus y no se acopla a ADA, Cosmos, SharePoint ni a una aplicación concreta.</w:t>
      </w:r>
    </w:p>
    <w:p>
      <w:pPr>
        <w:pStyle w:val="ListBullet"/>
        <w:widowControl/>
        <w:spacing w:after="60"/>
      </w:pPr>
      <w:r>
        <w:t>Users y Navigation permanecen capabilities genéricas de Atlanticus; Tools y KPI son contratos de configuración específicos de ADA.</w:t>
      </w:r>
    </w:p>
    <w:p>
      <w:pPr>
        <w:pStyle w:val="ListBullet"/>
        <w:widowControl/>
        <w:spacing w:after="60"/>
      </w:pPr>
      <w:r>
        <w:t>Los adapters ADA↔Manager son deliberadamente delgados: deserializan payloads, delegan y traducen resultados; no validan negocio ni persisten directamente.</w:t>
      </w:r>
    </w:p>
    <w:p>
      <w:pPr>
        <w:pStyle w:val="ListBullet"/>
        <w:widowControl/>
        <w:spacing w:after="60"/>
      </w:pPr>
      <w:r>
        <w:t>Tools se administra por ToolConfiguration individual; no se creó un bundle global artificial.</w:t>
      </w:r>
    </w:p>
    <w:p>
      <w:pPr>
        <w:pStyle w:val="ListBullet"/>
        <w:widowControl/>
        <w:spacing w:after="60"/>
      </w:pPr>
      <w:r>
        <w:t>KPI Definition canónico describe definiciones por kpi_key y campos; no se reintrodujeron bindings/destination_keys del modelo legacy.</w:t>
      </w:r>
    </w:p>
    <w:p>
      <w:pPr>
        <w:pStyle w:val="ListBullet"/>
        <w:widowControl/>
        <w:spacing w:after="60"/>
      </w:pPr>
      <w:r>
        <w:t>History es obligatorio para todo módulo Manager. No se implementan histories ficticios ni fallbacks que sólo expongan la revisión actual.</w:t>
      </w:r>
    </w:p>
    <w:p>
      <w:pPr>
        <w:pStyle w:val="ListBullet"/>
        <w:widowControl/>
        <w:spacing w:after="60"/>
      </w:pPr>
      <w:r>
        <w:t>manager-tools continúa siendo capa de presentación/editor y conserva la prohibición de persistencia y proyección.</w:t>
      </w:r>
    </w:p>
    <w:p>
      <w:pPr>
        <w:pStyle w:val="ListBullet"/>
        <w:widowControl/>
        <w:spacing w:after="60"/>
      </w:pPr>
      <w:r>
        <w:t>No se eligieron adaptadores físicos de Source/Projection durante CL-002D/E: los contratos permanecen inyectables y la composición concreta se decidirá en el host correspondiente.</w:t>
      </w:r>
    </w:p>
    <w:p>
      <w:pPr>
        <w:pStyle w:val="ListBullet"/>
        <w:widowControl/>
        <w:spacing w:after="60"/>
      </w:pPr>
      <w:r>
        <w:t>La aplicación operacional ada-generic-application no se reutiliza como host del Manager; el host administrativo tiene su propio package.</w:t>
      </w:r>
    </w:p>
    <w:p>
      <w:pPr>
        <w:pStyle w:val="Heading1"/>
        <w:widowControl/>
      </w:pPr>
      <w:r>
        <w:t>8. CL-002F — estado final de la frontera ADA↔Manager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UsersManagerWorkflowAdapter</w:t>
        <w:br/>
        <w:t>NavigationManagerWorkflowAdapter</w:t>
        <w:br/>
        <w:t>ToolConfigurationManagerWorkflowAdapter</w:t>
        <w:br/>
        <w:t>KpiDefinitionManagerWorkflowAdapter</w:t>
      </w:r>
    </w:p>
    <w:p>
      <w:pPr>
        <w:widowControl/>
      </w:pPr>
      <w:r>
        <w:rPr>
          <w:b/>
        </w:rPr>
        <w:t xml:space="preserve">Responsabilidades permitidas: </w:t>
      </w:r>
      <w:r>
        <w:t>payload → modelo del dominio; delegación; traducción de status, audit, issues, summary e history al contrato Manager.</w:t>
      </w:r>
    </w:p>
    <w:p>
      <w:pPr>
        <w:widowControl/>
      </w:pPr>
      <w:r>
        <w:rPr>
          <w:b/>
        </w:rPr>
        <w:t xml:space="preserve">Responsabilidades prohibidas: </w:t>
      </w:r>
      <w:r>
        <w:t>SharePoint/Cosmos/Databricks/Service Bus directos, persistencia, validación de negocio propia, save/publish físico o lógica de proyección.</w:t>
      </w:r>
    </w:p>
    <w:p>
      <w:pPr>
        <w:pStyle w:val="Heading1"/>
        <w:widowControl/>
      </w:pPr>
      <w:r>
        <w:t>9. Evidencia de validación</w:t>
      </w:r>
    </w:p>
    <w:p>
      <w:pPr>
        <w:widowControl/>
      </w:pPr>
      <w:r>
        <w:rPr>
          <w:b/>
        </w:rPr>
        <w:t xml:space="preserve">Estado consolidado: GREEN. </w:t>
      </w:r>
      <w:r>
        <w:t>Cada incremento fue validado localmente antes de continuar al siguiente. Para CL-002F el usuario confirmó el gate GREEN antes de solicitar este checkpoint.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61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Incremento</w:t>
            </w:r>
          </w:p>
        </w:tc>
        <w:tc>
          <w:tcPr>
            <w:tcW w:type="dxa" w:w="6350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Gate / evidencia</w:t>
            </w:r>
          </w:p>
        </w:tc>
        <w:tc>
          <w:tcPr>
            <w:tcW w:type="dxa" w:w="1191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36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CL-002A</w:t>
            </w:r>
          </w:p>
        </w:tc>
        <w:tc>
          <w:tcPr>
            <w:tcW w:type="dxa" w:w="63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uv sync / Ruff / package tests / full web pytest / uv lock --check</w:t>
            </w:r>
          </w:p>
        </w:tc>
        <w:tc>
          <w:tcPr>
            <w:tcW w:type="dxa" w:w="119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CL-002B</w:t>
            </w:r>
          </w:p>
        </w:tc>
        <w:tc>
          <w:tcPr>
            <w:tcW w:type="dxa" w:w="63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Users Core gate + full web regression</w:t>
            </w:r>
          </w:p>
        </w:tc>
        <w:tc>
          <w:tcPr>
            <w:tcW w:type="dxa" w:w="119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CL-002C</w:t>
            </w:r>
          </w:p>
        </w:tc>
        <w:tc>
          <w:tcPr>
            <w:tcW w:type="dxa" w:w="63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Users Configuration gate + full web regression</w:t>
            </w:r>
          </w:p>
        </w:tc>
        <w:tc>
          <w:tcPr>
            <w:tcW w:type="dxa" w:w="119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CL-002D</w:t>
            </w:r>
          </w:p>
        </w:tc>
        <w:tc>
          <w:tcPr>
            <w:tcW w:type="dxa" w:w="63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KPI Definition lifecycle tests + Ruff + UV lock</w:t>
            </w:r>
          </w:p>
        </w:tc>
        <w:tc>
          <w:tcPr>
            <w:tcW w:type="dxa" w:w="119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CL-002D.1</w:t>
            </w:r>
          </w:p>
        </w:tc>
        <w:tc>
          <w:tcPr>
            <w:tcW w:type="dxa" w:w="63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KPI Revision History gate</w:t>
            </w:r>
          </w:p>
        </w:tc>
        <w:tc>
          <w:tcPr>
            <w:tcW w:type="dxa" w:w="119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CL-002E</w:t>
            </w:r>
          </w:p>
        </w:tc>
        <w:tc>
          <w:tcPr>
            <w:tcW w:type="dxa" w:w="63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Tools Lifecycle; r1 corregido por r2; suite y fronteras</w:t>
            </w:r>
          </w:p>
        </w:tc>
        <w:tc>
          <w:tcPr>
            <w:tcW w:type="dxa" w:w="119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CL-002E.1</w:t>
            </w:r>
          </w:p>
        </w:tc>
        <w:tc>
          <w:tcPr>
            <w:tcW w:type="dxa" w:w="6350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Tool Revision History + regresión tools/editor/manager-tools</w:t>
            </w:r>
          </w:p>
        </w:tc>
        <w:tc>
          <w:tcPr>
            <w:tcW w:type="dxa" w:w="1191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  <w:tr>
        <w:tc>
          <w:tcPr>
            <w:tcW w:type="dxa" w:w="136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CL-002F</w:t>
            </w:r>
          </w:p>
        </w:tc>
        <w:tc>
          <w:tcPr>
            <w:tcW w:type="dxa" w:w="6350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5"/>
              </w:rPr>
              <w:t>Adapters: contracts, payload mapping, history, boundaries, mirror</w:t>
            </w:r>
          </w:p>
        </w:tc>
        <w:tc>
          <w:tcPr>
            <w:tcW w:type="dxa" w:w="1191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>
              <w:rPr>
                <w:b/>
                <w:color w:val="2E7D32"/>
              </w:rPr>
            </w:r>
            <w:r>
              <w:rPr>
                <w:rFonts w:ascii="Arial" w:hAnsi="Arial"/>
                <w:b w:val="0"/>
                <w:color w:val="1F252B"/>
                <w:sz w:val="15"/>
              </w:rPr>
              <w:t>GREEN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9.1 Incidente corregido en CL-002E</w:t>
      </w:r>
    </w:p>
    <w:p>
      <w:pPr>
        <w:widowControl/>
      </w:pPr>
      <w:r>
        <w:rPr>
          <w:b/>
        </w:rPr>
        <w:t xml:space="preserve">r1 no fue aceptado como GREEN. </w:t>
      </w:r>
      <w:r>
        <w:t>El primer candidate de Tools Lifecycle falló por imports de tests incompatibles con `--import-mode=importlib` y normalización Ruff pendiente. El r2 corrigió únicamente packaging/formato de tests; después pasaron la suite propia y las regresiones de tools, tool-editor y manager-tools. No se detectó cambio arquitectónico derivado de ese incidente.</w:t>
      </w:r>
    </w:p>
    <w:p>
      <w:pPr>
        <w:pStyle w:val="Heading1"/>
        <w:widowControl/>
      </w:pPr>
      <w:r>
        <w:t>10. Riesgos, límites y elementos aún no verificados</w:t>
      </w:r>
    </w:p>
    <w:p>
      <w:pPr>
        <w:pStyle w:val="ListBullet"/>
        <w:widowControl/>
        <w:spacing w:after="60"/>
      </w:pPr>
      <w:r>
        <w:t>No se afirma en este checkpoint que todos los cambios estén committeados/pusheados en GitHub; el estado remoto debe verificarse cuando se necesite una referencia de commit autoritativa.</w:t>
      </w:r>
    </w:p>
    <w:p>
      <w:pPr>
        <w:pStyle w:val="ListBullet"/>
        <w:widowControl/>
        <w:spacing w:after="60"/>
      </w:pPr>
      <w:r>
        <w:t>CL-003 todavía no está implementado: no existe aún el host administrativo completo con registry, composición de módulos, rutas y wiring runtime.</w:t>
      </w:r>
    </w:p>
    <w:p>
      <w:pPr>
        <w:pStyle w:val="ListBullet"/>
        <w:widowControl/>
        <w:spacing w:after="60"/>
      </w:pPr>
      <w:r>
        <w:t>No se ha seleccionado en este bloque la infraestructura física definitiva de Source/Projection/History para KPI y Tools; los contratos están preparados para inyección explícita.</w:t>
      </w:r>
    </w:p>
    <w:p>
      <w:pPr>
        <w:pStyle w:val="ListBullet"/>
        <w:widowControl/>
        <w:spacing w:after="60"/>
      </w:pPr>
      <w:r>
        <w:t>No existe todavía un E2E del ciclo completo desde UI Manager hasta Source/Projection para los cuatro módulos en el nuevo host.</w:t>
      </w:r>
    </w:p>
    <w:p>
      <w:pPr>
        <w:pStyle w:val="ListBullet"/>
        <w:widowControl/>
        <w:spacing w:after="60"/>
      </w:pPr>
      <w:r>
        <w:t>Loader, overlay operacional, ajustes visuales finales y paginación permanecen fuera del cierre CL-002 y deben respetar su orden posterior.</w:t>
      </w:r>
    </w:p>
    <w:p>
      <w:pPr>
        <w:pStyle w:val="Heading1"/>
        <w:widowControl/>
      </w:pPr>
      <w:r>
        <w:t>11. Punto de reanudación</w:t>
      </w:r>
    </w:p>
    <w:p>
      <w:pPr>
        <w:widowControl/>
      </w:pPr>
      <w:r>
        <w:rPr>
          <w:b/>
        </w:rPr>
        <w:t xml:space="preserve">Siguiente incremento autorizado por roadmap: </w:t>
      </w:r>
      <w:r>
        <w:t>CL-003 — ADA Configuration Manager Application.</w:t>
      </w:r>
    </w:p>
    <w:p>
      <w:pPr>
        <w:widowControl/>
      </w:pPr>
      <w:r>
        <w:rPr>
          <w:b/>
        </w:rPr>
        <w:t xml:space="preserve">Objetivo de CL-003: </w:t>
      </w:r>
      <w:r>
        <w:t>convertir `ada-configuration-manager` en la composition root administrativa de ADA, reutilizando el Manager genérico y los cuatro adapters ya GREEN, sin mezclarlo con `ada-generic-application`.</w:t>
      </w:r>
    </w:p>
    <w:p>
      <w:pPr>
        <w:pStyle w:val="CodeBlock"/>
        <w:keepLines/>
        <w:widowControl/>
        <w:shd w:fill="F3F5F7"/>
      </w:pPr>
      <w:r>
        <w:rPr>
          <w:rFonts w:ascii="Consolas" w:hAnsi="Consolas"/>
          <w:sz w:val="16"/>
        </w:rPr>
        <w:t>CL-003 debe partir desde:</w:t>
        <w:br/>
        <w:t xml:space="preserve">  Manager Framework              GREEN</w:t>
        <w:br/>
        <w:t xml:space="preserve">  Navigation lifecycle/history  GREEN</w:t>
        <w:br/>
        <w:t xml:space="preserve">  Users lifecycle/history       GREEN</w:t>
        <w:br/>
        <w:t xml:space="preserve">  Tools lifecycle/history       GREEN</w:t>
        <w:br/>
        <w:t xml:space="preserve">  KPI lifecycle/history         GREEN</w:t>
        <w:br/>
        <w:t xml:space="preserve">  ADA workflow adapters         GREEN</w:t>
      </w:r>
    </w:p>
    <w:p>
      <w:pPr>
        <w:widowControl/>
      </w:pPr>
      <w:r>
        <w:rPr>
          <w:b/>
        </w:rPr>
        <w:t xml:space="preserve">Orden funcional objetivo del Manager ADA: </w:t>
      </w:r>
      <w:r>
        <w:t>Users → Navigation → Tools → KPI.</w:t>
      </w:r>
    </w:p>
    <w:p>
      <w:pPr>
        <w:widowControl/>
      </w:pPr>
      <w:r>
        <w:rPr>
          <w:b/>
        </w:rPr>
        <w:t xml:space="preserve">Fuera de alcance inmediato al iniciar CL-003: </w:t>
      </w:r>
      <w:r>
        <w:t>loader/branding final, overlay de operaciones, E2E visual y paginación. Primero se cierra la composición backend y el host funcional.</w:t>
      </w:r>
    </w:p>
    <w:p>
      <w:pPr>
        <w:pStyle w:val="Heading1"/>
        <w:widowControl/>
      </w:pPr>
      <w:r>
        <w:t>12. Linaje de candidates relevantes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Incremento</w:t>
            </w:r>
          </w:p>
        </w:tc>
        <w:tc>
          <w:tcPr>
            <w:tcW w:type="dxa" w:w="6009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757"/>
            <w:shd w:fill="18324A"/>
            <w:vAlign w:val="center"/>
            <w:tcBorders>
              <w:bottom w:val="single" w:sz="6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SHA-256 abreviado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CL-002A</w:t>
            </w:r>
          </w:p>
        </w:tc>
        <w:tc>
          <w:tcPr>
            <w:tcW w:type="dxa" w:w="600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CL-002A-navigation-configuration-clean-landing-r1.zip</w:t>
            </w:r>
          </w:p>
        </w:tc>
        <w:tc>
          <w:tcPr>
            <w:tcW w:type="dxa" w:w="175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7d8571f6…90c</w:t>
            </w:r>
          </w:p>
        </w:tc>
      </w:tr>
      <w:tr>
        <w:tc>
          <w:tcPr>
            <w:tcW w:type="dxa" w:w="147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CL-002B</w:t>
            </w:r>
          </w:p>
        </w:tc>
        <w:tc>
          <w:tcPr>
            <w:tcW w:type="dxa" w:w="600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CL-002B-users-core-clean-landing-r1.zip</w:t>
            </w:r>
          </w:p>
        </w:tc>
        <w:tc>
          <w:tcPr>
            <w:tcW w:type="dxa" w:w="175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a9963419…407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CL-002C</w:t>
            </w:r>
          </w:p>
        </w:tc>
        <w:tc>
          <w:tcPr>
            <w:tcW w:type="dxa" w:w="600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CL-002C-users-configuration-clean-landing-r1.zip</w:t>
            </w:r>
          </w:p>
        </w:tc>
        <w:tc>
          <w:tcPr>
            <w:tcW w:type="dxa" w:w="175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189f31d2…16e</w:t>
            </w:r>
          </w:p>
        </w:tc>
      </w:tr>
      <w:tr>
        <w:tc>
          <w:tcPr>
            <w:tcW w:type="dxa" w:w="147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CL-002D</w:t>
            </w:r>
          </w:p>
        </w:tc>
        <w:tc>
          <w:tcPr>
            <w:tcW w:type="dxa" w:w="600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CL-002D-kpi-definition-lifecycle-r1.zip</w:t>
            </w:r>
          </w:p>
        </w:tc>
        <w:tc>
          <w:tcPr>
            <w:tcW w:type="dxa" w:w="175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d2c71a97…af1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CL-002E fix</w:t>
            </w:r>
          </w:p>
        </w:tc>
        <w:tc>
          <w:tcPr>
            <w:tcW w:type="dxa" w:w="600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CL-002E-tools-lifecycle-r2.zip</w:t>
            </w:r>
          </w:p>
        </w:tc>
        <w:tc>
          <w:tcPr>
            <w:tcW w:type="dxa" w:w="175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2011e219…50c3</w:t>
            </w:r>
          </w:p>
        </w:tc>
      </w:tr>
      <w:tr>
        <w:tc>
          <w:tcPr>
            <w:tcW w:type="dxa" w:w="147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CL-002D.1</w:t>
            </w:r>
          </w:p>
        </w:tc>
        <w:tc>
          <w:tcPr>
            <w:tcW w:type="dxa" w:w="600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CL-002D1-kpi-definition-revision-history-r1.zip</w:t>
            </w:r>
          </w:p>
        </w:tc>
        <w:tc>
          <w:tcPr>
            <w:tcW w:type="dxa" w:w="175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ad4aee25…34d3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CL-002E.1</w:t>
            </w:r>
          </w:p>
        </w:tc>
        <w:tc>
          <w:tcPr>
            <w:tcW w:type="dxa" w:w="6009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CL-002E1-tool-configuration-revision-history-r1.zip</w:t>
            </w:r>
          </w:p>
        </w:tc>
        <w:tc>
          <w:tcPr>
            <w:tcW w:type="dxa" w:w="1757"/>
            <w:shd w:fill="FFFFFF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e9a083d1…1a9d</w:t>
            </w:r>
          </w:p>
        </w:tc>
      </w:tr>
      <w:tr>
        <w:tc>
          <w:tcPr>
            <w:tcW w:type="dxa" w:w="1474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CL-002F</w:t>
            </w:r>
          </w:p>
        </w:tc>
        <w:tc>
          <w:tcPr>
            <w:tcW w:type="dxa" w:w="6009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CL-002F-ada-manager-workflow-adapters-r1.zip</w:t>
            </w:r>
          </w:p>
        </w:tc>
        <w:tc>
          <w:tcPr>
            <w:tcW w:type="dxa" w:w="1757"/>
            <w:shd w:fill="F8FAFB"/>
            <w:vAlign w:val="center"/>
            <w:tcBorders>
              <w:bottom w:val="single" w:sz="4" w:color="D7DDE2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52B"/>
                <w:sz w:val="14"/>
              </w:rPr>
              <w:t>11237c10…69ec</w:t>
            </w:r>
          </w:p>
        </w:tc>
      </w:tr>
    </w:tbl>
    <w:p>
      <w:pPr>
        <w:widowControl/>
        <w:spacing w:after="0"/>
      </w:pPr>
    </w:p>
    <w:p>
      <w:pPr>
        <w:widowControl/>
        <w:spacing w:before="200" w:after="0"/>
      </w:pPr>
      <w:r>
        <w:rPr>
          <w:b/>
          <w:color w:val="18324A"/>
        </w:rPr>
        <w:t>Checkpoint de cierre CL-002</w:t>
      </w:r>
      <w:r>
        <w:t xml:space="preserve"> · Este documento debe utilizarse como estado de reanudación antes de iniciar CL-003.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D6670"/>
        <w:sz w:val="15"/>
      </w:rPr>
      <w:t>Checkpoint CL-002 · 01-09-2026 · Estado GREEN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8324A"/>
        <w:sz w:val="16"/>
      </w:rPr>
      <w:t>ATLANTICUS  /  ADA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84D6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1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Manager - Checkpoint CL-002 GREEN</dc:title>
  <dc:subject>Estado de implementación antes de CL-003</dc:subject>
  <dc:creator>OpenAI</dc:creator>
  <cp:keywords>Atlanticus, ADA, Manager, CL-002, checkpoint, GREEN</cp:keywords>
  <dc:description>Documento de estado técnico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