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before="0" w:after="160" w:line="252" w:lineRule="auto"/>
        <w:jc w:val="left"/>
      </w:pPr>
      <w:r>
        <w:rPr>
          <w:rFonts w:ascii="Aptos" w:hAnsi="Aptos"/>
          <w:b/>
          <w:color w:val="4A6178"/>
          <w:sz w:val="18"/>
        </w:rPr>
        <w:t>ECOSYSTEM ATLANTICUS</w:t>
      </w:r>
    </w:p>
    <w:p>
      <w:pPr>
        <w:pStyle w:val="Title"/>
        <w:widowControl/>
        <w:spacing w:before="0" w:after="160" w:line="240" w:lineRule="auto"/>
      </w:pPr>
      <w:r>
        <w:rPr>
          <w:rFonts w:ascii="Aptos Display" w:hAnsi="Aptos Display"/>
          <w:b/>
          <w:color w:val="1F2937"/>
          <w:sz w:val="48"/>
        </w:rPr>
        <w:t>Materialización de la frontera</w:t>
        <w:br/>
        <w:t>Runtime – Aplicación</w:t>
      </w:r>
    </w:p>
    <w:p>
      <w:pPr>
        <w:widowControl/>
        <w:spacing w:before="0" w:after="280" w:line="252" w:lineRule="auto"/>
      </w:pPr>
      <w:r>
        <w:rPr>
          <w:rFonts w:ascii="Aptos" w:hAnsi="Aptos"/>
          <w:color w:val="4B555F"/>
          <w:sz w:val="24"/>
        </w:rPr>
        <w:t>Checkpoint arquitectónico, estado de avances y plan de continuidad</w:t>
      </w:r>
    </w:p>
    <w:tbl>
      <w:tblPr>
        <w:tblW w:type="auto" w:w="0"/>
        <w:tblLayout w:type="fixed"/>
        <w:tblLook w:firstColumn="1" w:firstRow="1" w:lastColumn="0" w:lastRow="0" w:noHBand="0" w:noVBand="1" w:val="04A0"/>
      </w:tblPr>
      <w:tblGrid>
        <w:gridCol w:w="2448"/>
        <w:gridCol w:w="7344"/>
      </w:tblGrid>
      <w:tr>
        <w:tc>
          <w:tcPr>
            <w:tcW w:type="dxa" w:w="5083"/>
            <w:tcBorders>
              <w:top w:val="nil"/>
              <w:left w:val="nil"/>
              <w:bottom w:val="single" w:sz="4" w:color="E3E7EA"/>
              <w:right w:val="nil"/>
            </w:tcBorders>
          </w:tcPr>
          <w:p>
            <w:r>
              <w:rPr>
                <w:rFonts w:ascii="Aptos" w:hAnsi="Aptos"/>
                <w:b/>
                <w:color w:val="73787D"/>
                <w:sz w:val="15"/>
              </w:rPr>
              <w:t>FECHA</w:t>
            </w:r>
          </w:p>
        </w:tc>
        <w:tc>
          <w:tcPr>
            <w:tcW w:type="dxa" w:w="5083"/>
            <w:tcBorders>
              <w:top w:val="nil"/>
              <w:left w:val="nil"/>
              <w:bottom w:val="single" w:sz="4" w:color="E3E7EA"/>
              <w:right w:val="nil"/>
            </w:tcBorders>
          </w:tcPr>
          <w:p>
            <w:r>
              <w:rPr>
                <w:rFonts w:ascii="Aptos" w:hAnsi="Aptos"/>
                <w:b w:val="0"/>
                <w:color w:val="1F2937"/>
                <w:sz w:val="18"/>
              </w:rPr>
              <w:t>1 de septiembre de 2026</w:t>
            </w:r>
          </w:p>
        </w:tc>
      </w:tr>
      <w:tr>
        <w:tc>
          <w:tcPr>
            <w:tcW w:type="dxa" w:w="5083"/>
            <w:tcBorders>
              <w:top w:val="nil"/>
              <w:left w:val="nil"/>
              <w:bottom w:val="single" w:sz="4" w:color="E3E7EA"/>
              <w:right w:val="nil"/>
            </w:tcBorders>
          </w:tcPr>
          <w:p>
            <w:r>
              <w:rPr>
                <w:rFonts w:ascii="Aptos" w:hAnsi="Aptos"/>
                <w:b/>
                <w:color w:val="73787D"/>
                <w:sz w:val="15"/>
              </w:rPr>
              <w:t>ESTADO</w:t>
            </w:r>
          </w:p>
        </w:tc>
        <w:tc>
          <w:tcPr>
            <w:tcW w:type="dxa" w:w="5083"/>
            <w:tcBorders>
              <w:top w:val="nil"/>
              <w:left w:val="nil"/>
              <w:bottom w:val="single" w:sz="4" w:color="E3E7EA"/>
              <w:right w:val="nil"/>
            </w:tcBorders>
          </w:tcPr>
          <w:p>
            <w:r>
              <w:rPr>
                <w:rFonts w:ascii="Aptos" w:hAnsi="Aptos"/>
                <w:b/>
                <w:color w:val="1F2937"/>
                <w:sz w:val="18"/>
              </w:rPr>
              <w:t>CONSENSO ARQUITECTÓNICO MATERIALIZADO</w:t>
            </w:r>
          </w:p>
        </w:tc>
      </w:tr>
      <w:tr>
        <w:tc>
          <w:tcPr>
            <w:tcW w:type="dxa" w:w="5083"/>
            <w:tcBorders>
              <w:top w:val="nil"/>
              <w:left w:val="nil"/>
              <w:bottom w:val="single" w:sz="4" w:color="E3E7EA"/>
              <w:right w:val="nil"/>
            </w:tcBorders>
          </w:tcPr>
          <w:p>
            <w:r>
              <w:rPr>
                <w:rFonts w:ascii="Aptos" w:hAnsi="Aptos"/>
                <w:b/>
                <w:color w:val="73787D"/>
                <w:sz w:val="15"/>
              </w:rPr>
              <w:t>ALCANCE</w:t>
            </w:r>
          </w:p>
        </w:tc>
        <w:tc>
          <w:tcPr>
            <w:tcW w:type="dxa" w:w="5083"/>
            <w:tcBorders>
              <w:top w:val="nil"/>
              <w:left w:val="nil"/>
              <w:bottom w:val="single" w:sz="4" w:color="E3E7EA"/>
              <w:right w:val="nil"/>
            </w:tcBorders>
          </w:tcPr>
          <w:p>
            <w:r>
              <w:rPr>
                <w:rFonts w:ascii="Aptos" w:hAnsi="Aptos"/>
                <w:b w:val="0"/>
                <w:color w:val="1F2937"/>
                <w:sz w:val="18"/>
              </w:rPr>
              <w:t>Atlanticus Web Foundation / ADA / aplicaciones consumidoras</w:t>
            </w:r>
          </w:p>
        </w:tc>
      </w:tr>
    </w:tbl>
    <w:p>
      <w:pPr>
        <w:widowControl/>
      </w:pPr>
    </w:p>
    <w:tbl>
      <w:tblPr>
        <w:tblW w:type="auto" w:w="0"/>
        <w:tblLook w:firstColumn="1" w:firstRow="1" w:lastColumn="0" w:lastRow="0" w:noHBand="0" w:noVBand="1" w:val="04A0"/>
      </w:tblPr>
      <w:tblGrid>
        <w:gridCol w:w="10166"/>
      </w:tblGrid>
      <w:tr>
        <w:tc>
          <w:tcPr>
            <w:tcW w:type="dxa" w:w="10166"/>
            <w:shd w:fill="EAF2F8"/>
            <w:tcBorders>
              <w:top w:val="nil"/>
              <w:left w:val="single" w:sz="18" w:color="4C78A8"/>
              <w:bottom w:val="nil"/>
              <w:right w:val="nil"/>
            </w:tcBorders>
          </w:tcPr>
          <w:p>
            <w:pPr>
              <w:spacing w:before="40" w:after="40" w:line="240" w:lineRule="auto"/>
            </w:pPr>
            <w:r>
              <w:rPr>
                <w:rFonts w:ascii="Aptos" w:hAnsi="Aptos"/>
                <w:b/>
                <w:color w:val="2D3741"/>
              </w:rPr>
              <w:t xml:space="preserve">Principio rector  </w:t>
            </w:r>
            <w:r>
              <w:rPr>
                <w:rFonts w:ascii="Aptos" w:hAnsi="Aptos"/>
                <w:color w:val="2D3741"/>
              </w:rPr>
              <w:t>Atlanticus no define cómo debe verse una aplicación. Entrega capacidades runtime, identidades estables, Stores y bindings para que una aplicación particular construya libremente su superficie.</w:t>
            </w:r>
          </w:p>
        </w:tc>
      </w:tr>
    </w:tbl>
    <w:p>
      <w:pPr>
        <w:widowControl/>
        <w:spacing w:after="0"/>
      </w:pPr>
    </w:p>
    <w:p>
      <w:pPr>
        <w:pStyle w:val="Heading1"/>
        <w:keepNext w:val="0"/>
        <w:widowControl/>
        <w:spacing w:before="0" w:after="120" w:line="252" w:lineRule="auto"/>
      </w:pPr>
      <w:r>
        <w:rPr>
          <w:rFonts w:ascii="Aptos" w:hAnsi="Aptos"/>
        </w:rPr>
        <w:t>1. Resumen ejecutivo</w:t>
      </w:r>
    </w:p>
    <w:p>
      <w:pPr>
        <w:keepNext w:val="0"/>
        <w:widowControl/>
        <w:spacing w:before="0" w:after="120" w:line="252" w:lineRule="auto"/>
      </w:pPr>
      <w:r>
        <w:rPr>
          <w:rFonts w:ascii="Aptos" w:hAnsi="Aptos"/>
        </w:rPr>
        <w:t>Este documento congela el consenso alcanzado sobre el límite entre la base reutilizable Atlanticus y las aplicaciones que la consumen. La conclusión central es que la genericidad debe residir en los contratos, Stores, Collectors, Delivery y Bindings; no en una composición visual universal.</w:t>
      </w:r>
    </w:p>
    <w:p>
      <w:pPr>
        <w:keepNext w:val="0"/>
        <w:widowControl/>
        <w:spacing w:before="0" w:after="120" w:line="252" w:lineRule="auto"/>
      </w:pPr>
      <w:r>
        <w:rPr>
          <w:rFonts w:ascii="Aptos" w:hAnsi="Aptos"/>
        </w:rPr>
        <w:t>ADA puede mantener piezas compartidas y composiciones reutilizables, pero ninguna de ellas —Header, Alarm Management, Alarm Status, Global Indicators, Time Status, Loader o una geometría particular de Body— debe convertirse en requisito estructural de Atlanticus.</w:t>
      </w:r>
    </w:p>
    <w:p>
      <w:pPr>
        <w:keepNext w:val="0"/>
        <w:widowControl/>
        <w:spacing w:before="0" w:after="120" w:line="252" w:lineRule="auto"/>
      </w:pPr>
      <w:r>
        <w:rPr>
          <w:rFonts w:ascii="Aptos" w:hAnsi="Aptos"/>
        </w:rPr>
        <w:t>El resultado deseado es que ADA Integrated Operations, ADA Process, una futura ADA Strategic, TDA u otra herramienta puedan reutilizar la misma base runtime y decidir de manera independiente qué capacidades montar, qué IDs generar, qué geometría usar y cómo orquestar su display.</w:t>
      </w:r>
    </w:p>
    <w:p>
      <w:pPr>
        <w:pStyle w:val="Heading1"/>
        <w:keepNext w:val="0"/>
        <w:widowControl/>
        <w:spacing w:before="0" w:after="120" w:line="252" w:lineRule="auto"/>
      </w:pPr>
      <w:r>
        <w:rPr>
          <w:rFonts w:ascii="Aptos" w:hAnsi="Aptos"/>
        </w:rPr>
        <w:t>2. Estado materializado del bloque CL-003E</w:t>
      </w:r>
    </w:p>
    <w:tbl>
      <w:tblPr>
        <w:tblStyle w:val="TableGrid"/>
        <w:tblW w:type="auto" w:w="0"/>
        <w:tblLayout w:type="fixed"/>
        <w:tblLook w:firstColumn="1" w:firstRow="1" w:lastColumn="0" w:lastRow="0" w:noHBand="0" w:noVBand="1" w:val="04A0"/>
      </w:tblPr>
      <w:tblGrid>
        <w:gridCol w:w="1656"/>
        <w:gridCol w:w="3672"/>
        <w:gridCol w:w="1800"/>
        <w:gridCol w:w="2952"/>
      </w:tblGrid>
      <w:tr>
        <w:trPr>
          <w:tblHeader w:val="true"/>
        </w:trPr>
        <w:tc>
          <w:tcPr>
            <w:tcW w:type="dxa" w:w="2541"/>
            <w:shd w:fill="293746"/>
            <w:vAlign w:val="center"/>
          </w:tcPr>
          <w:p>
            <w:pPr>
              <w:spacing w:before="0" w:after="0" w:line="252" w:lineRule="auto"/>
            </w:pPr>
            <w:r>
              <w:rPr>
                <w:rFonts w:ascii="Aptos" w:hAnsi="Aptos"/>
                <w:b/>
                <w:color w:val="FFFFFF"/>
                <w:sz w:val="16"/>
              </w:rPr>
              <w:t>Incremento</w:t>
            </w:r>
          </w:p>
        </w:tc>
        <w:tc>
          <w:tcPr>
            <w:tcW w:type="dxa" w:w="2541"/>
            <w:shd w:fill="293746"/>
            <w:vAlign w:val="center"/>
          </w:tcPr>
          <w:p>
            <w:pPr>
              <w:spacing w:before="0" w:after="0" w:line="252" w:lineRule="auto"/>
            </w:pPr>
            <w:r>
              <w:rPr>
                <w:rFonts w:ascii="Aptos" w:hAnsi="Aptos"/>
                <w:b/>
                <w:color w:val="FFFFFF"/>
                <w:sz w:val="16"/>
              </w:rPr>
              <w:t>Contrato</w:t>
            </w:r>
          </w:p>
        </w:tc>
        <w:tc>
          <w:tcPr>
            <w:tcW w:type="dxa" w:w="2541"/>
            <w:shd w:fill="293746"/>
            <w:vAlign w:val="center"/>
          </w:tcPr>
          <w:p>
            <w:pPr>
              <w:spacing w:before="0" w:after="0" w:line="252" w:lineRule="auto"/>
            </w:pPr>
            <w:r>
              <w:rPr>
                <w:rFonts w:ascii="Aptos" w:hAnsi="Aptos"/>
                <w:b/>
                <w:color w:val="FFFFFF"/>
                <w:sz w:val="16"/>
              </w:rPr>
              <w:t>Estado</w:t>
            </w:r>
          </w:p>
        </w:tc>
        <w:tc>
          <w:tcPr>
            <w:tcW w:type="dxa" w:w="2541"/>
            <w:shd w:fill="293746"/>
            <w:vAlign w:val="center"/>
          </w:tcPr>
          <w:p>
            <w:pPr>
              <w:spacing w:before="0" w:after="0" w:line="252" w:lineRule="auto"/>
            </w:pPr>
            <w:r>
              <w:rPr>
                <w:rFonts w:ascii="Aptos" w:hAnsi="Aptos"/>
                <w:b/>
                <w:color w:val="FFFFFF"/>
                <w:sz w:val="16"/>
              </w:rPr>
              <w:t>Resultado congelado</w:t>
            </w:r>
          </w:p>
        </w:tc>
      </w:tr>
      <w:tr>
        <w:tc>
          <w:tcPr>
            <w:tcW w:type="dxa" w:w="1656"/>
            <w:shd w:fill="FAFBFC"/>
          </w:tcPr>
          <w:p>
            <w:pPr>
              <w:spacing w:before="0" w:after="0" w:line="252" w:lineRule="auto"/>
            </w:pPr>
            <w:r>
              <w:rPr>
                <w:rFonts w:ascii="Aptos" w:hAnsi="Aptos"/>
                <w:b/>
                <w:sz w:val="16"/>
              </w:rPr>
              <w:t>CL-003E.2</w:t>
            </w:r>
          </w:p>
        </w:tc>
        <w:tc>
          <w:tcPr>
            <w:tcW w:type="dxa" w:w="3672"/>
            <w:shd w:fill="FAFBFC"/>
          </w:tcPr>
          <w:p>
            <w:pPr>
              <w:spacing w:before="0" w:after="0" w:line="252" w:lineRule="auto"/>
            </w:pPr>
            <w:r>
              <w:rPr>
                <w:rFonts w:ascii="Aptos" w:hAnsi="Aptos"/>
                <w:b w:val="0"/>
                <w:sz w:val="16"/>
              </w:rPr>
              <w:t>Tool Structure / Tool Kind</w:t>
            </w:r>
          </w:p>
        </w:tc>
        <w:tc>
          <w:tcPr>
            <w:tcW w:type="dxa" w:w="1800"/>
            <w:shd w:fill="E6F4EA"/>
          </w:tcPr>
          <w:p>
            <w:pPr>
              <w:spacing w:before="0" w:after="0" w:line="252" w:lineRule="auto"/>
            </w:pPr>
            <w:r>
              <w:rPr>
                <w:rFonts w:ascii="Aptos" w:hAnsi="Aptos"/>
                <w:b/>
                <w:sz w:val="16"/>
              </w:rPr>
              <w:t>GREEN</w:t>
            </w:r>
          </w:p>
        </w:tc>
        <w:tc>
          <w:tcPr>
            <w:tcW w:type="dxa" w:w="2952"/>
            <w:shd w:fill="FAFBFC"/>
          </w:tcPr>
          <w:p>
            <w:pPr>
              <w:spacing w:before="0" w:after="0" w:line="252" w:lineRule="auto"/>
            </w:pPr>
            <w:r>
              <w:rPr>
                <w:rFonts w:ascii="Aptos" w:hAnsi="Aptos"/>
                <w:b w:val="0"/>
                <w:sz w:val="16"/>
              </w:rPr>
              <w:t>ToolStructure determina existencia, orden y semántica estructural.</w:t>
            </w:r>
          </w:p>
        </w:tc>
      </w:tr>
      <w:tr>
        <w:tc>
          <w:tcPr>
            <w:tcW w:type="dxa" w:w="1656"/>
            <w:shd w:fill="F4F6F8"/>
          </w:tcPr>
          <w:p>
            <w:pPr>
              <w:spacing w:before="0" w:after="0" w:line="252" w:lineRule="auto"/>
            </w:pPr>
            <w:r>
              <w:rPr>
                <w:rFonts w:ascii="Aptos" w:hAnsi="Aptos"/>
                <w:b/>
                <w:sz w:val="16"/>
              </w:rPr>
              <w:t>CL-003E.3</w:t>
            </w:r>
          </w:p>
        </w:tc>
        <w:tc>
          <w:tcPr>
            <w:tcW w:type="dxa" w:w="3672"/>
            <w:shd w:fill="F4F6F8"/>
          </w:tcPr>
          <w:p>
            <w:pPr>
              <w:spacing w:before="0" w:after="0" w:line="252" w:lineRule="auto"/>
            </w:pPr>
            <w:r>
              <w:rPr>
                <w:rFonts w:ascii="Aptos" w:hAnsi="Aptos"/>
                <w:b w:val="0"/>
                <w:sz w:val="16"/>
              </w:rPr>
              <w:t>Component Store Contract</w:t>
            </w:r>
          </w:p>
        </w:tc>
        <w:tc>
          <w:tcPr>
            <w:tcW w:type="dxa" w:w="1800"/>
            <w:shd w:fill="E6F4EA"/>
          </w:tcPr>
          <w:p>
            <w:pPr>
              <w:spacing w:before="0" w:after="0" w:line="252" w:lineRule="auto"/>
            </w:pPr>
            <w:r>
              <w:rPr>
                <w:rFonts w:ascii="Aptos" w:hAnsi="Aptos"/>
                <w:b/>
                <w:sz w:val="16"/>
              </w:rPr>
              <w:t>GREEN</w:t>
            </w:r>
          </w:p>
        </w:tc>
        <w:tc>
          <w:tcPr>
            <w:tcW w:type="dxa" w:w="2952"/>
            <w:shd w:fill="F4F6F8"/>
          </w:tcPr>
          <w:p>
            <w:pPr>
              <w:spacing w:before="0" w:after="0" w:line="252" w:lineRule="auto"/>
            </w:pPr>
            <w:r>
              <w:rPr>
                <w:rFonts w:ascii="Aptos" w:hAnsi="Aptos"/>
                <w:b w:val="0"/>
                <w:sz w:val="16"/>
              </w:rPr>
              <w:t>1 Store por Component; EMPTY es válido; Subcomponents no crean Store.</w:t>
            </w:r>
          </w:p>
        </w:tc>
      </w:tr>
      <w:tr>
        <w:tc>
          <w:tcPr>
            <w:tcW w:type="dxa" w:w="1656"/>
            <w:shd w:fill="FAFBFC"/>
          </w:tcPr>
          <w:p>
            <w:pPr>
              <w:spacing w:before="0" w:after="0" w:line="252" w:lineRule="auto"/>
            </w:pPr>
            <w:r>
              <w:rPr>
                <w:rFonts w:ascii="Aptos" w:hAnsi="Aptos"/>
                <w:b/>
                <w:sz w:val="16"/>
              </w:rPr>
              <w:t>CL-003E.4</w:t>
            </w:r>
          </w:p>
        </w:tc>
        <w:tc>
          <w:tcPr>
            <w:tcW w:type="dxa" w:w="3672"/>
            <w:shd w:fill="FAFBFC"/>
          </w:tcPr>
          <w:p>
            <w:pPr>
              <w:spacing w:before="0" w:after="0" w:line="252" w:lineRule="auto"/>
            </w:pPr>
            <w:r>
              <w:rPr>
                <w:rFonts w:ascii="Aptos" w:hAnsi="Aptos"/>
                <w:b w:val="0"/>
                <w:sz w:val="16"/>
              </w:rPr>
              <w:t>Component Delivery Collector</w:t>
            </w:r>
          </w:p>
        </w:tc>
        <w:tc>
          <w:tcPr>
            <w:tcW w:type="dxa" w:w="1800"/>
            <w:shd w:fill="E6F4EA"/>
          </w:tcPr>
          <w:p>
            <w:pPr>
              <w:spacing w:before="0" w:after="0" w:line="252" w:lineRule="auto"/>
            </w:pPr>
            <w:r>
              <w:rPr>
                <w:rFonts w:ascii="Aptos" w:hAnsi="Aptos"/>
                <w:b/>
                <w:sz w:val="16"/>
              </w:rPr>
              <w:t>GREEN</w:t>
            </w:r>
          </w:p>
        </w:tc>
        <w:tc>
          <w:tcPr>
            <w:tcW w:type="dxa" w:w="2952"/>
            <w:shd w:fill="FAFBFC"/>
          </w:tcPr>
          <w:p>
            <w:pPr>
              <w:spacing w:before="0" w:after="0" w:line="252" w:lineRule="auto"/>
            </w:pPr>
            <w:r>
              <w:rPr>
                <w:rFonts w:ascii="Aptos" w:hAnsi="Aptos"/>
                <w:b w:val="0"/>
                <w:sz w:val="16"/>
              </w:rPr>
              <w:t>El Collector hidrata Stores existentes; no crea estructura ni interpreta payload.</w:t>
            </w:r>
          </w:p>
        </w:tc>
      </w:tr>
      <w:tr>
        <w:tc>
          <w:tcPr>
            <w:tcW w:type="dxa" w:w="1656"/>
            <w:shd w:fill="F4F6F8"/>
          </w:tcPr>
          <w:p>
            <w:pPr>
              <w:spacing w:before="0" w:after="0" w:line="252" w:lineRule="auto"/>
            </w:pPr>
            <w:r>
              <w:rPr>
                <w:rFonts w:ascii="Aptos" w:hAnsi="Aptos"/>
                <w:b/>
                <w:sz w:val="16"/>
              </w:rPr>
              <w:t>CL-003E.5</w:t>
            </w:r>
          </w:p>
        </w:tc>
        <w:tc>
          <w:tcPr>
            <w:tcW w:type="dxa" w:w="3672"/>
            <w:shd w:fill="F4F6F8"/>
          </w:tcPr>
          <w:p>
            <w:pPr>
              <w:spacing w:before="0" w:after="0" w:line="252" w:lineRule="auto"/>
            </w:pPr>
            <w:r>
              <w:rPr>
                <w:rFonts w:ascii="Aptos" w:hAnsi="Aptos"/>
                <w:b w:val="0"/>
                <w:sz w:val="16"/>
              </w:rPr>
              <w:t>Operational Render Binding</w:t>
            </w:r>
          </w:p>
        </w:tc>
        <w:tc>
          <w:tcPr>
            <w:tcW w:type="dxa" w:w="1800"/>
            <w:shd w:fill="E6F4EA"/>
          </w:tcPr>
          <w:p>
            <w:pPr>
              <w:spacing w:before="0" w:after="0" w:line="252" w:lineRule="auto"/>
            </w:pPr>
            <w:r>
              <w:rPr>
                <w:rFonts w:ascii="Aptos" w:hAnsi="Aptos"/>
                <w:b/>
                <w:sz w:val="16"/>
              </w:rPr>
              <w:t>GREEN</w:t>
            </w:r>
          </w:p>
        </w:tc>
        <w:tc>
          <w:tcPr>
            <w:tcW w:type="dxa" w:w="2952"/>
            <w:shd w:fill="F4F6F8"/>
          </w:tcPr>
          <w:p>
            <w:pPr>
              <w:spacing w:before="0" w:after="0" w:line="252" w:lineRule="auto"/>
            </w:pPr>
            <w:r>
              <w:rPr>
                <w:rFonts w:ascii="Aptos" w:hAnsi="Aptos"/>
                <w:b w:val="0"/>
                <w:sz w:val="16"/>
              </w:rPr>
              <w:t>Une ToolComponent + Store respetando ToolStructure y sin imponer presentación.</w:t>
            </w:r>
          </w:p>
        </w:tc>
      </w:tr>
    </w:tbl>
    <w:p>
      <w:pPr>
        <w:pStyle w:val="Heading2"/>
        <w:keepNext w:val="0"/>
        <w:widowControl/>
        <w:spacing w:before="0" w:after="120" w:line="252" w:lineRule="auto"/>
      </w:pPr>
      <w:r>
        <w:rPr>
          <w:rFonts w:ascii="Aptos" w:hAnsi="Aptos"/>
        </w:rPr>
        <w:t>Versiones estabilizadas</w:t>
      </w:r>
    </w:p>
    <w:tbl>
      <w:tblPr>
        <w:tblW w:type="auto" w:w="0"/>
        <w:tblLayout w:type="fixed"/>
        <w:tblLook w:firstColumn="1" w:firstRow="1" w:lastColumn="0" w:lastRow="0" w:noHBand="0" w:noVBand="1" w:val="04A0"/>
      </w:tblPr>
      <w:tblGrid>
        <w:gridCol w:w="10166"/>
      </w:tblGrid>
      <w:tr>
        <w:tc>
          <w:tcPr>
            <w:tcW w:type="dxa" w:w="10166"/>
            <w:shd w:fill="F4F6F8"/>
            <w:tcBorders>
              <w:top w:val="single" w:sz="4" w:color="D0D7DE"/>
              <w:left w:val="single" w:sz="4" w:color="D0D7DE"/>
              <w:bottom w:val="single" w:sz="4" w:color="D0D7DE"/>
              <w:right w:val="single" w:sz="4" w:color="D0D7DE"/>
            </w:tcBorders>
          </w:tcPr>
          <w:p>
            <w:pPr>
              <w:spacing w:before="80" w:after="80"/>
            </w:pPr>
            <w:r>
              <w:rPr>
                <w:rFonts w:ascii="DejaVu Sans Mono" w:hAnsi="DejaVu Sans Mono"/>
                <w:color w:val="2D3741"/>
                <w:sz w:val="16"/>
              </w:rPr>
              <w:t>ada-configuration-tools==0.4.0</w:t>
            </w:r>
            <w:r>
              <w:br/>
            </w:r>
            <w:r>
              <w:rPr>
                <w:rFonts w:ascii="DejaVu Sans Mono" w:hAnsi="DejaVu Sans Mono"/>
                <w:color w:val="2D3741"/>
                <w:sz w:val="16"/>
              </w:rPr>
              <w:t>ada-web-component-store==0.1.0</w:t>
            </w:r>
            <w:r>
              <w:br/>
            </w:r>
            <w:r>
              <w:rPr>
                <w:rFonts w:ascii="DejaVu Sans Mono" w:hAnsi="DejaVu Sans Mono"/>
                <w:color w:val="2D3741"/>
                <w:sz w:val="16"/>
              </w:rPr>
              <w:t>ada-web-component-delivery==0.1.0</w:t>
            </w:r>
            <w:r>
              <w:br/>
            </w:r>
            <w:r>
              <w:rPr>
                <w:rFonts w:ascii="DejaVu Sans Mono" w:hAnsi="DejaVu Sans Mono"/>
                <w:color w:val="2D3741"/>
                <w:sz w:val="16"/>
              </w:rPr>
              <w:t>ada-web-operational-render-binding==0.1.0</w:t>
            </w:r>
          </w:p>
        </w:tc>
      </w:tr>
    </w:tbl>
    <w:p>
      <w:pPr>
        <w:widowControl/>
        <w:spacing w:after="0"/>
      </w:pPr>
    </w:p>
    <w:p>
      <w:pPr>
        <w:pStyle w:val="Heading1"/>
        <w:keepNext w:val="0"/>
        <w:widowControl/>
        <w:spacing w:before="0" w:after="120" w:line="252" w:lineRule="auto"/>
      </w:pPr>
      <w:r>
        <w:rPr>
          <w:rFonts w:ascii="Aptos" w:hAnsi="Aptos"/>
        </w:rPr>
        <w:t>3. Cadena runtime genérica alcanzada</w:t>
      </w:r>
    </w:p>
    <w:tbl>
      <w:tblPr>
        <w:tblW w:type="auto" w:w="0"/>
        <w:tblLayout w:type="fixed"/>
        <w:tblLook w:firstColumn="1" w:firstRow="1" w:lastColumn="0" w:lastRow="0" w:noHBand="0" w:noVBand="1" w:val="04A0"/>
      </w:tblPr>
      <w:tblGrid>
        <w:gridCol w:w="10166"/>
      </w:tblGrid>
      <w:tr>
        <w:tc>
          <w:tcPr>
            <w:tcW w:type="dxa" w:w="10166"/>
            <w:shd w:fill="F4F6F8"/>
            <w:tcBorders>
              <w:top w:val="single" w:sz="4" w:color="D0D7DE"/>
              <w:left w:val="single" w:sz="4" w:color="D0D7DE"/>
              <w:bottom w:val="single" w:sz="4" w:color="D0D7DE"/>
              <w:right w:val="single" w:sz="4" w:color="D0D7DE"/>
            </w:tcBorders>
          </w:tcPr>
          <w:p>
            <w:pPr>
              <w:spacing w:before="80" w:after="80"/>
            </w:pPr>
            <w:r>
              <w:rPr>
                <w:rFonts w:ascii="DejaVu Sans Mono" w:hAnsi="DejaVu Sans Mono"/>
                <w:color w:val="2D3741"/>
                <w:sz w:val="16"/>
              </w:rPr>
              <w:t>Tool Configuration</w:t>
            </w:r>
            <w:r>
              <w:br/>
            </w:r>
            <w:r>
              <w:rPr>
                <w:rFonts w:ascii="DejaVu Sans Mono" w:hAnsi="DejaVu Sans Mono"/>
                <w:color w:val="2D3741"/>
                <w:sz w:val="16"/>
              </w:rPr>
              <w:t xml:space="preserve">        ↓</w:t>
            </w:r>
            <w:r>
              <w:br/>
            </w:r>
            <w:r>
              <w:rPr>
                <w:rFonts w:ascii="DejaVu Sans Mono" w:hAnsi="DejaVu Sans Mono"/>
                <w:color w:val="2D3741"/>
                <w:sz w:val="16"/>
              </w:rPr>
              <w:t>ToolStructure</w:t>
            </w:r>
            <w:r>
              <w:br/>
            </w:r>
            <w:r>
              <w:rPr>
                <w:rFonts w:ascii="DejaVu Sans Mono" w:hAnsi="DejaVu Sans Mono"/>
                <w:color w:val="2D3741"/>
                <w:sz w:val="16"/>
              </w:rPr>
              <w:t xml:space="preserve">        ↓</w:t>
            </w:r>
            <w:r>
              <w:br/>
            </w:r>
            <w:r>
              <w:rPr>
                <w:rFonts w:ascii="DejaVu Sans Mono" w:hAnsi="DejaVu Sans Mono"/>
                <w:color w:val="2D3741"/>
                <w:sz w:val="16"/>
              </w:rPr>
              <w:t>Component Store Projection</w:t>
            </w:r>
            <w:r>
              <w:br/>
            </w:r>
            <w:r>
              <w:rPr>
                <w:rFonts w:ascii="DejaVu Sans Mono" w:hAnsi="DejaVu Sans Mono"/>
                <w:color w:val="2D3741"/>
                <w:sz w:val="16"/>
              </w:rPr>
              <w:t xml:space="preserve">        ↓</w:t>
            </w:r>
            <w:r>
              <w:br/>
            </w:r>
            <w:r>
              <w:rPr>
                <w:rFonts w:ascii="DejaVu Sans Mono" w:hAnsi="DejaVu Sans Mono"/>
                <w:color w:val="2D3741"/>
                <w:sz w:val="16"/>
              </w:rPr>
              <w:t>Component Stores (EMPTY o POPULATED)</w:t>
            </w:r>
            <w:r>
              <w:br/>
            </w:r>
            <w:r>
              <w:rPr>
                <w:rFonts w:ascii="DejaVu Sans Mono" w:hAnsi="DejaVu Sans Mono"/>
                <w:color w:val="2D3741"/>
                <w:sz w:val="16"/>
              </w:rPr>
              <w:t xml:space="preserve">        ↓</w:t>
            </w:r>
            <w:r>
              <w:br/>
            </w:r>
            <w:r>
              <w:rPr>
                <w:rFonts w:ascii="DejaVu Sans Mono" w:hAnsi="DejaVu Sans Mono"/>
                <w:color w:val="2D3741"/>
                <w:sz w:val="16"/>
              </w:rPr>
              <w:t>Component Delivery Collector</w:t>
            </w:r>
            <w:r>
              <w:br/>
            </w:r>
            <w:r>
              <w:rPr>
                <w:rFonts w:ascii="DejaVu Sans Mono" w:hAnsi="DejaVu Sans Mono"/>
                <w:color w:val="2D3741"/>
                <w:sz w:val="16"/>
              </w:rPr>
              <w:t xml:space="preserve">        ↓</w:t>
            </w:r>
            <w:r>
              <w:br/>
            </w:r>
            <w:r>
              <w:rPr>
                <w:rFonts w:ascii="DejaVu Sans Mono" w:hAnsi="DejaVu Sans Mono"/>
                <w:color w:val="2D3741"/>
                <w:sz w:val="16"/>
              </w:rPr>
              <w:t>OperationalRenderBinding</w:t>
            </w:r>
            <w:r>
              <w:br/>
            </w:r>
            <w:r>
              <w:rPr>
                <w:rFonts w:ascii="DejaVu Sans Mono" w:hAnsi="DejaVu Sans Mono"/>
                <w:color w:val="2D3741"/>
                <w:sz w:val="16"/>
              </w:rPr>
              <w:t xml:space="preserve">        ↓</w:t>
            </w:r>
            <w:r>
              <w:br/>
            </w:r>
            <w:r>
              <w:rPr>
                <w:rFonts w:ascii="DejaVu Sans Mono" w:hAnsi="DejaVu Sans Mono"/>
                <w:color w:val="2D3741"/>
                <w:sz w:val="16"/>
              </w:rPr>
              <w:t>────────── APPLICATION BOUNDARY ──────────</w:t>
            </w:r>
            <w:r>
              <w:br/>
            </w:r>
            <w:r>
              <w:rPr>
                <w:rFonts w:ascii="DejaVu Sans Mono" w:hAnsi="DejaVu Sans Mono"/>
                <w:color w:val="2D3741"/>
                <w:sz w:val="16"/>
              </w:rPr>
              <w:t xml:space="preserve">        ↓</w:t>
            </w:r>
            <w:r>
              <w:br/>
            </w:r>
            <w:r>
              <w:rPr>
                <w:rFonts w:ascii="DejaVu Sans Mono" w:hAnsi="DejaVu Sans Mono"/>
                <w:color w:val="2D3741"/>
                <w:sz w:val="16"/>
              </w:rPr>
              <w:t>Aplicación particular</w:t>
            </w:r>
          </w:p>
        </w:tc>
      </w:tr>
    </w:tbl>
    <w:p>
      <w:pPr>
        <w:widowControl/>
        <w:spacing w:after="0"/>
      </w:pPr>
    </w:p>
    <w:p>
      <w:pPr>
        <w:keepNext w:val="0"/>
        <w:widowControl/>
        <w:spacing w:before="0" w:after="120" w:line="252" w:lineRule="auto"/>
      </w:pPr>
      <w:r>
        <w:rPr>
          <w:rFonts w:ascii="Aptos" w:hAnsi="Aptos"/>
        </w:rPr>
        <w:t>La autoridad estructural permanece aguas arriba. La configuración determina existencia; los datos determinan estado. Un Collector nunca crea un Component, un Store o una geometría porque aparezca un dato. La aplicación recibe la estructura ya resuelta y los datos modularizados por Store.</w:t>
      </w:r>
    </w:p>
    <w:p>
      <w:pPr>
        <w:pStyle w:val="Heading1"/>
        <w:keepNext w:val="0"/>
        <w:widowControl/>
        <w:spacing w:before="0" w:after="120" w:line="252" w:lineRule="auto"/>
      </w:pPr>
      <w:r>
        <w:rPr>
          <w:rFonts w:ascii="Aptos" w:hAnsi="Aptos"/>
        </w:rPr>
        <w:t>4. Frontera Atlanticus – Aplicación</w:t>
      </w:r>
    </w:p>
    <w:p>
      <w:pPr>
        <w:pStyle w:val="Heading2"/>
        <w:keepNext w:val="0"/>
        <w:widowControl/>
        <w:spacing w:before="0" w:after="120" w:line="252" w:lineRule="auto"/>
      </w:pPr>
      <w:r>
        <w:rPr>
          <w:rFonts w:ascii="Aptos" w:hAnsi="Aptos"/>
        </w:rPr>
        <w:t>4.1 Responsabilidad de Atlanticus</w:t>
      </w:r>
    </w:p>
    <w:p>
      <w:pPr>
        <w:pStyle w:val="ListBullet"/>
        <w:widowControl/>
        <w:spacing w:before="0" w:after="60" w:line="252" w:lineRule="auto"/>
      </w:pPr>
      <w:r>
        <w:rPr>
          <w:rFonts w:ascii="Aptos" w:hAnsi="Aptos"/>
        </w:rPr>
        <w:t>Exponer contratos backend y Web estables para estructura, identidad, Stores, Delivery y Bindings.</w:t>
      </w:r>
    </w:p>
    <w:p>
      <w:pPr>
        <w:pStyle w:val="ListBullet"/>
        <w:widowControl/>
        <w:spacing w:before="0" w:after="60" w:line="252" w:lineRule="auto"/>
      </w:pPr>
      <w:r>
        <w:rPr>
          <w:rFonts w:ascii="Aptos" w:hAnsi="Aptos"/>
        </w:rPr>
        <w:t>Crear y mantener Stores según la estructura configurada, incluso sin datos.</w:t>
      </w:r>
    </w:p>
    <w:p>
      <w:pPr>
        <w:pStyle w:val="ListBullet"/>
        <w:widowControl/>
        <w:spacing w:before="0" w:after="60" w:line="252" w:lineRule="auto"/>
      </w:pPr>
      <w:r>
        <w:rPr>
          <w:rFonts w:ascii="Aptos" w:hAnsi="Aptos"/>
        </w:rPr>
        <w:t>Hidratar Stores mediante Collectors que conocen únicamente sus contratos de entrada/salida.</w:t>
      </w:r>
    </w:p>
    <w:p>
      <w:pPr>
        <w:pStyle w:val="ListBullet"/>
        <w:widowControl/>
        <w:spacing w:before="0" w:after="60" w:line="252" w:lineRule="auto"/>
      </w:pPr>
      <w:r>
        <w:rPr>
          <w:rFonts w:ascii="Aptos" w:hAnsi="Aptos"/>
        </w:rPr>
        <w:t>Mantener identidad lógica estable: tool_key, component_key, subcomponent_key y kpi_key cuando corresponda.</w:t>
      </w:r>
    </w:p>
    <w:p>
      <w:pPr>
        <w:pStyle w:val="ListBullet"/>
        <w:widowControl/>
        <w:spacing w:before="0" w:after="60" w:line="252" w:lineRule="auto"/>
      </w:pPr>
      <w:r>
        <w:rPr>
          <w:rFonts w:ascii="Aptos" w:hAnsi="Aptos"/>
        </w:rPr>
        <w:t>Permitir capacidades runtime opcionales y componibles, sin convertir una UI concreta en arquitectura obligatoria.</w:t>
      </w:r>
    </w:p>
    <w:p>
      <w:pPr>
        <w:pStyle w:val="ListBullet"/>
        <w:widowControl/>
        <w:spacing w:before="0" w:after="60" w:line="252" w:lineRule="auto"/>
      </w:pPr>
      <w:r>
        <w:rPr>
          <w:rFonts w:ascii="Aptos" w:hAnsi="Aptos"/>
        </w:rPr>
        <w:t>No definir CSS, geometría, DOM IDs, layout, callbacks visuales particulares ni una composición de página universal.</w:t>
      </w:r>
    </w:p>
    <w:p>
      <w:pPr>
        <w:pStyle w:val="Heading2"/>
        <w:keepNext w:val="0"/>
        <w:widowControl/>
        <w:spacing w:before="0" w:after="120" w:line="252" w:lineRule="auto"/>
      </w:pPr>
      <w:r>
        <w:rPr>
          <w:rFonts w:ascii="Aptos" w:hAnsi="Aptos"/>
        </w:rPr>
        <w:t>4.2 Responsabilidad de la aplicación consumidora</w:t>
      </w:r>
    </w:p>
    <w:p>
      <w:pPr>
        <w:pStyle w:val="ListBullet"/>
        <w:widowControl/>
        <w:spacing w:before="0" w:after="60" w:line="252" w:lineRule="auto"/>
      </w:pPr>
      <w:r>
        <w:rPr>
          <w:rFonts w:ascii="Aptos" w:hAnsi="Aptos"/>
        </w:rPr>
        <w:t>Declarar qué contratos/capacidades runtime consume.</w:t>
      </w:r>
    </w:p>
    <w:p>
      <w:pPr>
        <w:pStyle w:val="ListBullet"/>
        <w:widowControl/>
        <w:spacing w:before="0" w:after="60" w:line="252" w:lineRule="auto"/>
      </w:pPr>
      <w:r>
        <w:rPr>
          <w:rFonts w:ascii="Aptos" w:hAnsi="Aptos"/>
        </w:rPr>
        <w:t>Mapear identidades runtime a IDs concretos de su propia superficie.</w:t>
      </w:r>
    </w:p>
    <w:p>
      <w:pPr>
        <w:pStyle w:val="ListBullet"/>
        <w:widowControl/>
        <w:spacing w:before="0" w:after="60" w:line="252" w:lineRule="auto"/>
      </w:pPr>
      <w:r>
        <w:rPr>
          <w:rFonts w:ascii="Aptos" w:hAnsi="Aptos"/>
        </w:rPr>
        <w:t>Definir renderers, callbacks e interacciones de presentación.</w:t>
      </w:r>
    </w:p>
    <w:p>
      <w:pPr>
        <w:pStyle w:val="ListBullet"/>
        <w:widowControl/>
        <w:spacing w:before="0" w:after="60" w:line="252" w:lineRule="auto"/>
      </w:pPr>
      <w:r>
        <w:rPr>
          <w:rFonts w:ascii="Aptos" w:hAnsi="Aptos"/>
        </w:rPr>
        <w:t>Definir su geometría: Body, Header, regiones, slots, overlays, modales o cualquier otra composición.</w:t>
      </w:r>
    </w:p>
    <w:p>
      <w:pPr>
        <w:pStyle w:val="ListBullet"/>
        <w:widowControl/>
        <w:spacing w:before="0" w:after="60" w:line="252" w:lineRule="auto"/>
      </w:pPr>
      <w:r>
        <w:rPr>
          <w:rFonts w:ascii="Aptos" w:hAnsi="Aptos"/>
        </w:rPr>
        <w:t>Orquestar el display final sin consultar directamente la mecánica de adquisición de datos.</w:t>
      </w:r>
    </w:p>
    <w:p>
      <w:pPr>
        <w:pStyle w:val="ListBullet"/>
        <w:widowControl/>
        <w:spacing w:before="0" w:after="60" w:line="252" w:lineRule="auto"/>
      </w:pPr>
      <w:r>
        <w:rPr>
          <w:rFonts w:ascii="Aptos" w:hAnsi="Aptos"/>
        </w:rPr>
        <w:t>Poder reemplazar, omitir o agregar composiciones sin modificar la base Atlanticus.</w:t>
      </w:r>
    </w:p>
    <w:tbl>
      <w:tblPr>
        <w:tblW w:type="auto" w:w="0"/>
        <w:tblLook w:firstColumn="1" w:firstRow="1" w:lastColumn="0" w:lastRow="0" w:noHBand="0" w:noVBand="1" w:val="04A0"/>
      </w:tblPr>
      <w:tblGrid>
        <w:gridCol w:w="10166"/>
      </w:tblGrid>
      <w:tr>
        <w:tc>
          <w:tcPr>
            <w:tcW w:type="dxa" w:w="10166"/>
            <w:shd w:fill="F3F0FA"/>
            <w:tcBorders>
              <w:top w:val="nil"/>
              <w:left w:val="single" w:sz="18" w:color="4C78A8"/>
              <w:bottom w:val="nil"/>
              <w:right w:val="nil"/>
            </w:tcBorders>
          </w:tcPr>
          <w:p>
            <w:pPr>
              <w:spacing w:before="40" w:after="40" w:line="240" w:lineRule="auto"/>
            </w:pPr>
            <w:r>
              <w:rPr>
                <w:rFonts w:ascii="Aptos" w:hAnsi="Aptos"/>
                <w:b/>
                <w:color w:val="2D3741"/>
              </w:rPr>
              <w:t xml:space="preserve">Regla de diseño  </w:t>
            </w:r>
            <w:r>
              <w:rPr>
                <w:rFonts w:ascii="Aptos" w:hAnsi="Aptos"/>
                <w:color w:val="2D3741"/>
              </w:rPr>
              <w:t>Los IDs de Dash/HTML pertenecen a la aplicación. Atlanticus entrega identidad lógica; la aplicación materializa identidad visual.</w:t>
            </w:r>
          </w:p>
        </w:tc>
      </w:tr>
    </w:tbl>
    <w:p>
      <w:pPr>
        <w:widowControl/>
        <w:spacing w:after="0"/>
      </w:pPr>
    </w:p>
    <w:p>
      <w:pPr>
        <w:pStyle w:val="Heading1"/>
        <w:keepNext w:val="0"/>
        <w:widowControl/>
        <w:spacing w:before="0" w:after="120" w:line="252" w:lineRule="auto"/>
      </w:pPr>
      <w:r>
        <w:rPr>
          <w:rFonts w:ascii="Aptos" w:hAnsi="Aptos"/>
        </w:rPr>
        <w:t>5. Atlanticus entrega capacidades, no una página</w:t>
      </w:r>
    </w:p>
    <w:tbl>
      <w:tblPr>
        <w:tblW w:type="auto" w:w="0"/>
        <w:tblLayout w:type="fixed"/>
        <w:tblLook w:firstColumn="1" w:firstRow="1" w:lastColumn="0" w:lastRow="0" w:noHBand="0" w:noVBand="1" w:val="04A0"/>
      </w:tblPr>
      <w:tblGrid>
        <w:gridCol w:w="10166"/>
      </w:tblGrid>
      <w:tr>
        <w:tc>
          <w:tcPr>
            <w:tcW w:type="dxa" w:w="10166"/>
            <w:shd w:fill="F4F6F8"/>
            <w:tcBorders>
              <w:top w:val="single" w:sz="4" w:color="D0D7DE"/>
              <w:left w:val="single" w:sz="4" w:color="D0D7DE"/>
              <w:bottom w:val="single" w:sz="4" w:color="D0D7DE"/>
              <w:right w:val="single" w:sz="4" w:color="D0D7DE"/>
            </w:tcBorders>
          </w:tcPr>
          <w:p>
            <w:pPr>
              <w:spacing w:before="80" w:after="80"/>
            </w:pPr>
            <w:r>
              <w:rPr>
                <w:rFonts w:ascii="DejaVu Sans Mono" w:hAnsi="DejaVu Sans Mono"/>
                <w:color w:val="2D3741"/>
                <w:sz w:val="16"/>
              </w:rPr>
              <w:t>ATLANTICUS WEB FOUNDATION</w:t>
            </w:r>
            <w:r>
              <w:br/>
            </w:r>
            <w:r>
              <w:rPr>
                <w:rFonts w:ascii="DejaVu Sans Mono" w:hAnsi="DejaVu Sans Mono"/>
                <w:color w:val="2D3741"/>
                <w:sz w:val="16"/>
              </w:rPr>
              <w:t>│</w:t>
            </w:r>
            <w:r>
              <w:br/>
            </w:r>
            <w:r>
              <w:rPr>
                <w:rFonts w:ascii="DejaVu Sans Mono" w:hAnsi="DejaVu Sans Mono"/>
                <w:color w:val="2D3741"/>
                <w:sz w:val="16"/>
              </w:rPr>
              <w:t>├── Component / Tool capability</w:t>
            </w:r>
            <w:r>
              <w:br/>
            </w:r>
            <w:r>
              <w:rPr>
                <w:rFonts w:ascii="DejaVu Sans Mono" w:hAnsi="DejaVu Sans Mono"/>
                <w:color w:val="2D3741"/>
                <w:sz w:val="16"/>
              </w:rPr>
              <w:t>│   └── Structure → Stores → Collector → Binding</w:t>
            </w:r>
            <w:r>
              <w:br/>
            </w:r>
            <w:r>
              <w:rPr>
                <w:rFonts w:ascii="DejaVu Sans Mono" w:hAnsi="DejaVu Sans Mono"/>
                <w:color w:val="2D3741"/>
                <w:sz w:val="16"/>
              </w:rPr>
              <w:t>│</w:t>
            </w:r>
            <w:r>
              <w:br/>
            </w:r>
            <w:r>
              <w:rPr>
                <w:rFonts w:ascii="DejaVu Sans Mono" w:hAnsi="DejaVu Sans Mono"/>
                <w:color w:val="2D3741"/>
                <w:sz w:val="16"/>
              </w:rPr>
              <w:t>├── Alarm capability [opcional]</w:t>
            </w:r>
            <w:r>
              <w:br/>
            </w:r>
            <w:r>
              <w:rPr>
                <w:rFonts w:ascii="DejaVu Sans Mono" w:hAnsi="DejaVu Sans Mono"/>
                <w:color w:val="2D3741"/>
                <w:sz w:val="16"/>
              </w:rPr>
              <w:t>│   └── Runtime/estado → entrega → binding de consumo</w:t>
            </w:r>
            <w:r>
              <w:br/>
            </w:r>
            <w:r>
              <w:rPr>
                <w:rFonts w:ascii="DejaVu Sans Mono" w:hAnsi="DejaVu Sans Mono"/>
                <w:color w:val="2D3741"/>
                <w:sz w:val="16"/>
              </w:rPr>
              <w:t>│</w:t>
            </w:r>
            <w:r>
              <w:br/>
            </w:r>
            <w:r>
              <w:rPr>
                <w:rFonts w:ascii="DejaVu Sans Mono" w:hAnsi="DejaVu Sans Mono"/>
                <w:color w:val="2D3741"/>
                <w:sz w:val="16"/>
              </w:rPr>
              <w:t>├── KPI capability [opcional]</w:t>
            </w:r>
            <w:r>
              <w:br/>
            </w:r>
            <w:r>
              <w:rPr>
                <w:rFonts w:ascii="DejaVu Sans Mono" w:hAnsi="DejaVu Sans Mono"/>
                <w:color w:val="2D3741"/>
                <w:sz w:val="16"/>
              </w:rPr>
              <w:t>│</w:t>
            </w:r>
            <w:r>
              <w:br/>
            </w:r>
            <w:r>
              <w:rPr>
                <w:rFonts w:ascii="DejaVu Sans Mono" w:hAnsi="DejaVu Sans Mono"/>
                <w:color w:val="2D3741"/>
                <w:sz w:val="16"/>
              </w:rPr>
              <w:t>├── Time/estado u otras capabilities [opcionales]</w:t>
            </w:r>
            <w:r>
              <w:br/>
            </w:r>
            <w:r>
              <w:rPr>
                <w:rFonts w:ascii="DejaVu Sans Mono" w:hAnsi="DejaVu Sans Mono"/>
                <w:color w:val="2D3741"/>
                <w:sz w:val="16"/>
              </w:rPr>
              <w:t>│</w:t>
            </w:r>
            <w:r>
              <w:br/>
            </w:r>
            <w:r>
              <w:rPr>
                <w:rFonts w:ascii="DejaVu Sans Mono" w:hAnsi="DejaVu Sans Mono"/>
                <w:color w:val="2D3741"/>
                <w:sz w:val="16"/>
              </w:rPr>
              <w:t>└── Application boundary</w:t>
            </w:r>
            <w:r>
              <w:br/>
            </w:r>
            <w:r>
              <w:rPr>
                <w:rFonts w:ascii="DejaVu Sans Mono" w:hAnsi="DejaVu Sans Mono"/>
                <w:color w:val="2D3741"/>
                <w:sz w:val="16"/>
              </w:rPr>
              <w:t xml:space="preserve">        ↓</w:t>
            </w:r>
            <w:r>
              <w:br/>
            </w:r>
            <w:r>
              <w:rPr>
                <w:rFonts w:ascii="DejaVu Sans Mono" w:hAnsi="DejaVu Sans Mono"/>
                <w:color w:val="2D3741"/>
                <w:sz w:val="16"/>
              </w:rPr>
              <w:t xml:space="preserve">   cada aplicación selecciona y compone</w:t>
            </w:r>
          </w:p>
        </w:tc>
      </w:tr>
    </w:tbl>
    <w:p>
      <w:pPr>
        <w:widowControl/>
        <w:spacing w:after="0"/>
      </w:pPr>
    </w:p>
    <w:p>
      <w:pPr>
        <w:keepNext w:val="0"/>
        <w:widowControl/>
        <w:spacing w:before="0" w:after="120" w:line="252" w:lineRule="auto"/>
      </w:pPr>
      <w:r>
        <w:rPr>
          <w:rFonts w:ascii="Aptos" w:hAnsi="Aptos"/>
        </w:rPr>
        <w:t>El objetivo no es imponer un “Operational Shell” universal. Un shell ADA puede seguir existiendo como building block reutilizable dentro del ecosistema ADA, pero no debe elevarse a requisito de Atlanticus.</w:t>
      </w:r>
    </w:p>
    <w:p>
      <w:pPr>
        <w:pStyle w:val="Heading1"/>
        <w:keepNext w:val="0"/>
        <w:widowControl/>
        <w:spacing w:before="0" w:after="120" w:line="252" w:lineRule="auto"/>
      </w:pPr>
      <w:r>
        <w:rPr>
          <w:rFonts w:ascii="Aptos" w:hAnsi="Aptos"/>
        </w:rPr>
        <w:t>6. Alarmas: runtime genérico, superficies inyectables</w:t>
      </w:r>
    </w:p>
    <w:p>
      <w:pPr>
        <w:keepNext w:val="0"/>
        <w:widowControl/>
        <w:spacing w:before="0" w:after="120" w:line="252" w:lineRule="auto"/>
      </w:pPr>
      <w:r>
        <w:rPr>
          <w:rFonts w:ascii="Aptos" w:hAnsi="Aptos"/>
        </w:rPr>
        <w:t>El sistema actual ya entrega una evidencia importante: Alarm Management y Alarm Status son composiciones inyectables. Pueden desmontarse, reemplazarse por otra pieza o dejar el espacio vacío. Por lo tanto, no son la estructura del runtime de alarmas; son consumidores visuales del mismo.</w:t>
      </w:r>
    </w:p>
    <w:tbl>
      <w:tblPr>
        <w:tblW w:type="auto" w:w="0"/>
        <w:tblLayout w:type="fixed"/>
        <w:tblLook w:firstColumn="1" w:firstRow="1" w:lastColumn="0" w:lastRow="0" w:noHBand="0" w:noVBand="1" w:val="04A0"/>
      </w:tblPr>
      <w:tblGrid>
        <w:gridCol w:w="10166"/>
      </w:tblGrid>
      <w:tr>
        <w:tc>
          <w:tcPr>
            <w:tcW w:type="dxa" w:w="10166"/>
            <w:shd w:fill="F4F6F8"/>
            <w:tcBorders>
              <w:top w:val="single" w:sz="4" w:color="D0D7DE"/>
              <w:left w:val="single" w:sz="4" w:color="D0D7DE"/>
              <w:bottom w:val="single" w:sz="4" w:color="D0D7DE"/>
              <w:right w:val="single" w:sz="4" w:color="D0D7DE"/>
            </w:tcBorders>
          </w:tcPr>
          <w:p>
            <w:pPr>
              <w:spacing w:before="80" w:after="80"/>
            </w:pPr>
            <w:r>
              <w:rPr>
                <w:rFonts w:ascii="DejaVu Sans Mono" w:hAnsi="DejaVu Sans Mono"/>
                <w:color w:val="2D3741"/>
                <w:sz w:val="16"/>
              </w:rPr>
              <w:t>Alarm Runtime / Contract</w:t>
            </w:r>
            <w:r>
              <w:br/>
            </w:r>
            <w:r>
              <w:rPr>
                <w:rFonts w:ascii="DejaVu Sans Mono" w:hAnsi="DejaVu Sans Mono"/>
                <w:color w:val="2D3741"/>
                <w:sz w:val="16"/>
              </w:rPr>
              <w:t xml:space="preserve">        ↓</w:t>
            </w:r>
            <w:r>
              <w:br/>
            </w:r>
            <w:r>
              <w:rPr>
                <w:rFonts w:ascii="DejaVu Sans Mono" w:hAnsi="DejaVu Sans Mono"/>
                <w:color w:val="2D3741"/>
                <w:sz w:val="16"/>
              </w:rPr>
              <w:t>Alarm Delivery / Binding</w:t>
            </w:r>
            <w:r>
              <w:br/>
            </w:r>
            <w:r>
              <w:rPr>
                <w:rFonts w:ascii="DejaVu Sans Mono" w:hAnsi="DejaVu Sans Mono"/>
                <w:color w:val="2D3741"/>
                <w:sz w:val="16"/>
              </w:rPr>
              <w:t xml:space="preserve">        ↓</w:t>
            </w:r>
            <w:r>
              <w:br/>
            </w:r>
            <w:r>
              <w:rPr>
                <w:rFonts w:ascii="DejaVu Sans Mono" w:hAnsi="DejaVu Sans Mono"/>
                <w:color w:val="2D3741"/>
                <w:sz w:val="16"/>
              </w:rPr>
              <w:t>──────── APPLICATION ────────</w:t>
            </w:r>
            <w:r>
              <w:br/>
            </w:r>
            <w:r>
              <w:rPr>
                <w:rFonts w:ascii="DejaVu Sans Mono" w:hAnsi="DejaVu Sans Mono"/>
                <w:color w:val="2D3741"/>
                <w:sz w:val="16"/>
              </w:rPr>
              <w:t xml:space="preserve">   ├── Alarm Management   [opcional]</w:t>
            </w:r>
            <w:r>
              <w:br/>
            </w:r>
            <w:r>
              <w:rPr>
                <w:rFonts w:ascii="DejaVu Sans Mono" w:hAnsi="DejaVu Sans Mono"/>
                <w:color w:val="2D3741"/>
                <w:sz w:val="16"/>
              </w:rPr>
              <w:t xml:space="preserve">   ├── Alarm Status       [opcional]</w:t>
            </w:r>
            <w:r>
              <w:br/>
            </w:r>
            <w:r>
              <w:rPr>
                <w:rFonts w:ascii="DejaVu Sans Mono" w:hAnsi="DejaVu Sans Mono"/>
                <w:color w:val="2D3741"/>
                <w:sz w:val="16"/>
              </w:rPr>
              <w:t xml:space="preserve">   ├── Overlay/Surface    [opcional]</w:t>
            </w:r>
            <w:r>
              <w:br/>
            </w:r>
            <w:r>
              <w:rPr>
                <w:rFonts w:ascii="DejaVu Sans Mono" w:hAnsi="DejaVu Sans Mono"/>
                <w:color w:val="2D3741"/>
                <w:sz w:val="16"/>
              </w:rPr>
              <w:t xml:space="preserve">   └── ningún consumidor  [válido]</w:t>
            </w:r>
          </w:p>
        </w:tc>
      </w:tr>
    </w:tbl>
    <w:p>
      <w:pPr>
        <w:widowControl/>
        <w:spacing w:after="0"/>
      </w:pPr>
    </w:p>
    <w:p>
      <w:pPr>
        <w:keepNext w:val="0"/>
        <w:widowControl/>
        <w:spacing w:before="0" w:after="120" w:line="252" w:lineRule="auto"/>
      </w:pPr>
      <w:r>
        <w:rPr>
          <w:rFonts w:ascii="Aptos" w:hAnsi="Aptos"/>
        </w:rPr>
        <w:t>La próxima revisión de Alarmas debe comprobar hasta qué punto la cadena puede estabilizarse con el mismo patrón de Components, sin forzar una única representación visual. Una aplicación puede usar alarmas sin mostrar todos los consumidores actuales; otra puede no usar alarmas en absoluto.</w:t>
      </w:r>
    </w:p>
    <w:p>
      <w:pPr>
        <w:pStyle w:val="Heading1"/>
        <w:keepNext w:val="0"/>
        <w:widowControl/>
        <w:spacing w:before="0" w:after="120" w:line="252" w:lineRule="auto"/>
      </w:pPr>
      <w:r>
        <w:rPr>
          <w:rFonts w:ascii="Aptos" w:hAnsi="Aptos"/>
        </w:rPr>
        <w:t>7. Piezas visuales: opcionales por contrato de aplicación</w:t>
      </w:r>
    </w:p>
    <w:tbl>
      <w:tblPr>
        <w:tblStyle w:val="TableGrid"/>
        <w:tblW w:type="auto" w:w="0"/>
        <w:tblLayout w:type="fixed"/>
        <w:tblLook w:firstColumn="1" w:firstRow="1" w:lastColumn="0" w:lastRow="0" w:noHBand="0" w:noVBand="1" w:val="04A0"/>
      </w:tblPr>
      <w:tblGrid>
        <w:gridCol w:w="2592"/>
        <w:gridCol w:w="2304"/>
        <w:gridCol w:w="5616"/>
      </w:tblGrid>
      <w:tr>
        <w:tc>
          <w:tcPr>
            <w:tcW w:type="dxa" w:w="3389"/>
            <w:shd w:fill="293746"/>
          </w:tcPr>
          <w:p>
            <w:pPr>
              <w:spacing w:before="0" w:after="0" w:line="252" w:lineRule="auto"/>
            </w:pPr>
            <w:r>
              <w:rPr>
                <w:rFonts w:ascii="Aptos" w:hAnsi="Aptos"/>
                <w:b/>
                <w:color w:val="FFFFFF"/>
                <w:sz w:val="16"/>
              </w:rPr>
              <w:t>Pieza</w:t>
            </w:r>
          </w:p>
        </w:tc>
        <w:tc>
          <w:tcPr>
            <w:tcW w:type="dxa" w:w="3389"/>
            <w:shd w:fill="293746"/>
          </w:tcPr>
          <w:p>
            <w:pPr>
              <w:spacing w:before="0" w:after="0" w:line="252" w:lineRule="auto"/>
            </w:pPr>
            <w:r>
              <w:rPr>
                <w:rFonts w:ascii="Aptos" w:hAnsi="Aptos"/>
                <w:b/>
                <w:color w:val="FFFFFF"/>
                <w:sz w:val="16"/>
              </w:rPr>
              <w:t>Atlanticus obliga</w:t>
            </w:r>
          </w:p>
        </w:tc>
        <w:tc>
          <w:tcPr>
            <w:tcW w:type="dxa" w:w="3389"/>
            <w:shd w:fill="293746"/>
          </w:tcPr>
          <w:p>
            <w:pPr>
              <w:spacing w:before="0" w:after="0" w:line="252" w:lineRule="auto"/>
            </w:pPr>
            <w:r>
              <w:rPr>
                <w:rFonts w:ascii="Aptos" w:hAnsi="Aptos"/>
                <w:b/>
                <w:color w:val="FFFFFF"/>
                <w:sz w:val="16"/>
              </w:rPr>
              <w:t>Criterio acordado</w:t>
            </w:r>
          </w:p>
        </w:tc>
      </w:tr>
      <w:tr>
        <w:tc>
          <w:tcPr>
            <w:tcW w:type="dxa" w:w="2592"/>
            <w:shd w:fill="FAFBFC"/>
          </w:tcPr>
          <w:p>
            <w:pPr>
              <w:spacing w:before="0" w:after="0" w:line="252" w:lineRule="auto"/>
            </w:pPr>
            <w:r>
              <w:rPr>
                <w:rFonts w:ascii="Aptos" w:hAnsi="Aptos"/>
                <w:b/>
                <w:sz w:val="16"/>
              </w:rPr>
              <w:t>Alarm Management</w:t>
            </w:r>
          </w:p>
        </w:tc>
        <w:tc>
          <w:tcPr>
            <w:tcW w:type="dxa" w:w="2304"/>
            <w:shd w:fill="FAFBFC"/>
          </w:tcPr>
          <w:p>
            <w:pPr>
              <w:spacing w:before="0" w:after="0" w:line="252" w:lineRule="auto"/>
            </w:pPr>
            <w:r>
              <w:rPr>
                <w:rFonts w:ascii="Aptos" w:hAnsi="Aptos"/>
                <w:b w:val="0"/>
                <w:sz w:val="16"/>
              </w:rPr>
              <w:t>No</w:t>
            </w:r>
          </w:p>
        </w:tc>
        <w:tc>
          <w:tcPr>
            <w:tcW w:type="dxa" w:w="5616"/>
            <w:shd w:fill="FAFBFC"/>
          </w:tcPr>
          <w:p>
            <w:pPr>
              <w:spacing w:before="0" w:after="0" w:line="252" w:lineRule="auto"/>
            </w:pPr>
            <w:r>
              <w:rPr>
                <w:rFonts w:ascii="Aptos" w:hAnsi="Aptos"/>
                <w:b w:val="0"/>
                <w:sz w:val="16"/>
              </w:rPr>
              <w:t>Composición inyectable; puede reemplazarse u omitirse.</w:t>
            </w:r>
          </w:p>
        </w:tc>
      </w:tr>
      <w:tr>
        <w:tc>
          <w:tcPr>
            <w:tcW w:type="dxa" w:w="2592"/>
            <w:shd w:fill="F4F6F8"/>
          </w:tcPr>
          <w:p>
            <w:pPr>
              <w:spacing w:before="0" w:after="0" w:line="252" w:lineRule="auto"/>
            </w:pPr>
            <w:r>
              <w:rPr>
                <w:rFonts w:ascii="Aptos" w:hAnsi="Aptos"/>
                <w:b/>
                <w:sz w:val="16"/>
              </w:rPr>
              <w:t>Alarm Status</w:t>
            </w:r>
          </w:p>
        </w:tc>
        <w:tc>
          <w:tcPr>
            <w:tcW w:type="dxa" w:w="2304"/>
            <w:shd w:fill="F4F6F8"/>
          </w:tcPr>
          <w:p>
            <w:pPr>
              <w:spacing w:before="0" w:after="0" w:line="252" w:lineRule="auto"/>
            </w:pPr>
            <w:r>
              <w:rPr>
                <w:rFonts w:ascii="Aptos" w:hAnsi="Aptos"/>
                <w:b w:val="0"/>
                <w:sz w:val="16"/>
              </w:rPr>
              <w:t>No</w:t>
            </w:r>
          </w:p>
        </w:tc>
        <w:tc>
          <w:tcPr>
            <w:tcW w:type="dxa" w:w="5616"/>
            <w:shd w:fill="F4F6F8"/>
          </w:tcPr>
          <w:p>
            <w:pPr>
              <w:spacing w:before="0" w:after="0" w:line="252" w:lineRule="auto"/>
            </w:pPr>
            <w:r>
              <w:rPr>
                <w:rFonts w:ascii="Aptos" w:hAnsi="Aptos"/>
                <w:b w:val="0"/>
                <w:sz w:val="16"/>
              </w:rPr>
              <w:t>Composición inyectable; puede reemplazarse u omitirse.</w:t>
            </w:r>
          </w:p>
        </w:tc>
      </w:tr>
      <w:tr>
        <w:tc>
          <w:tcPr>
            <w:tcW w:type="dxa" w:w="2592"/>
            <w:shd w:fill="FAFBFC"/>
          </w:tcPr>
          <w:p>
            <w:pPr>
              <w:spacing w:before="0" w:after="0" w:line="252" w:lineRule="auto"/>
            </w:pPr>
            <w:r>
              <w:rPr>
                <w:rFonts w:ascii="Aptos" w:hAnsi="Aptos"/>
                <w:b/>
                <w:sz w:val="16"/>
              </w:rPr>
              <w:t>Global Indicators</w:t>
            </w:r>
          </w:p>
        </w:tc>
        <w:tc>
          <w:tcPr>
            <w:tcW w:type="dxa" w:w="2304"/>
            <w:shd w:fill="FAFBFC"/>
          </w:tcPr>
          <w:p>
            <w:pPr>
              <w:spacing w:before="0" w:after="0" w:line="252" w:lineRule="auto"/>
            </w:pPr>
            <w:r>
              <w:rPr>
                <w:rFonts w:ascii="Aptos" w:hAnsi="Aptos"/>
                <w:b w:val="0"/>
                <w:sz w:val="16"/>
              </w:rPr>
              <w:t>No</w:t>
            </w:r>
          </w:p>
        </w:tc>
        <w:tc>
          <w:tcPr>
            <w:tcW w:type="dxa" w:w="5616"/>
            <w:shd w:fill="FAFBFC"/>
          </w:tcPr>
          <w:p>
            <w:pPr>
              <w:spacing w:before="0" w:after="0" w:line="252" w:lineRule="auto"/>
            </w:pPr>
            <w:r>
              <w:rPr>
                <w:rFonts w:ascii="Aptos" w:hAnsi="Aptos"/>
                <w:b w:val="0"/>
                <w:sz w:val="16"/>
              </w:rPr>
              <w:t>Puede ser parte de una aplicación ADA, pero no define el runtime universal.</w:t>
            </w:r>
          </w:p>
        </w:tc>
      </w:tr>
      <w:tr>
        <w:tc>
          <w:tcPr>
            <w:tcW w:type="dxa" w:w="2592"/>
            <w:shd w:fill="F4F6F8"/>
          </w:tcPr>
          <w:p>
            <w:pPr>
              <w:spacing w:before="0" w:after="0" w:line="252" w:lineRule="auto"/>
            </w:pPr>
            <w:r>
              <w:rPr>
                <w:rFonts w:ascii="Aptos" w:hAnsi="Aptos"/>
                <w:b/>
                <w:sz w:val="16"/>
              </w:rPr>
              <w:t>Header</w:t>
            </w:r>
          </w:p>
        </w:tc>
        <w:tc>
          <w:tcPr>
            <w:tcW w:type="dxa" w:w="2304"/>
            <w:shd w:fill="F4F6F8"/>
          </w:tcPr>
          <w:p>
            <w:pPr>
              <w:spacing w:before="0" w:after="0" w:line="252" w:lineRule="auto"/>
            </w:pPr>
            <w:r>
              <w:rPr>
                <w:rFonts w:ascii="Aptos" w:hAnsi="Aptos"/>
                <w:b w:val="0"/>
                <w:sz w:val="16"/>
              </w:rPr>
              <w:t>No</w:t>
            </w:r>
          </w:p>
        </w:tc>
        <w:tc>
          <w:tcPr>
            <w:tcW w:type="dxa" w:w="5616"/>
            <w:shd w:fill="F4F6F8"/>
          </w:tcPr>
          <w:p>
            <w:pPr>
              <w:spacing w:before="0" w:after="0" w:line="252" w:lineRule="auto"/>
            </w:pPr>
            <w:r>
              <w:rPr>
                <w:rFonts w:ascii="Aptos" w:hAnsi="Aptos"/>
                <w:b w:val="0"/>
                <w:sz w:val="16"/>
              </w:rPr>
              <w:t>Cada aplicación puede usar Header ADA, uno propio o ninguno.</w:t>
            </w:r>
          </w:p>
        </w:tc>
      </w:tr>
      <w:tr>
        <w:tc>
          <w:tcPr>
            <w:tcW w:type="dxa" w:w="2592"/>
            <w:shd w:fill="FAFBFC"/>
          </w:tcPr>
          <w:p>
            <w:pPr>
              <w:spacing w:before="0" w:after="0" w:line="252" w:lineRule="auto"/>
            </w:pPr>
            <w:r>
              <w:rPr>
                <w:rFonts w:ascii="Aptos" w:hAnsi="Aptos"/>
                <w:b/>
                <w:sz w:val="16"/>
              </w:rPr>
              <w:t>Time Status</w:t>
            </w:r>
          </w:p>
        </w:tc>
        <w:tc>
          <w:tcPr>
            <w:tcW w:type="dxa" w:w="2304"/>
            <w:shd w:fill="FAFBFC"/>
          </w:tcPr>
          <w:p>
            <w:pPr>
              <w:spacing w:before="0" w:after="0" w:line="252" w:lineRule="auto"/>
            </w:pPr>
            <w:r>
              <w:rPr>
                <w:rFonts w:ascii="Aptos" w:hAnsi="Aptos"/>
                <w:b w:val="0"/>
                <w:sz w:val="16"/>
              </w:rPr>
              <w:t>No</w:t>
            </w:r>
          </w:p>
        </w:tc>
        <w:tc>
          <w:tcPr>
            <w:tcW w:type="dxa" w:w="5616"/>
            <w:shd w:fill="FAFBFC"/>
          </w:tcPr>
          <w:p>
            <w:pPr>
              <w:spacing w:before="0" w:after="0" w:line="252" w:lineRule="auto"/>
            </w:pPr>
            <w:r>
              <w:rPr>
                <w:rFonts w:ascii="Aptos" w:hAnsi="Aptos"/>
                <w:b w:val="0"/>
                <w:sz w:val="16"/>
              </w:rPr>
              <w:t>Capacidad/presentación seleccionable por la aplicación.</w:t>
            </w:r>
          </w:p>
        </w:tc>
      </w:tr>
      <w:tr>
        <w:tc>
          <w:tcPr>
            <w:tcW w:type="dxa" w:w="2592"/>
            <w:shd w:fill="F4F6F8"/>
          </w:tcPr>
          <w:p>
            <w:pPr>
              <w:spacing w:before="0" w:after="0" w:line="252" w:lineRule="auto"/>
            </w:pPr>
            <w:r>
              <w:rPr>
                <w:rFonts w:ascii="Aptos" w:hAnsi="Aptos"/>
                <w:b/>
                <w:sz w:val="16"/>
              </w:rPr>
              <w:t>Loader</w:t>
            </w:r>
          </w:p>
        </w:tc>
        <w:tc>
          <w:tcPr>
            <w:tcW w:type="dxa" w:w="2304"/>
            <w:shd w:fill="F4F6F8"/>
          </w:tcPr>
          <w:p>
            <w:pPr>
              <w:spacing w:before="0" w:after="0" w:line="252" w:lineRule="auto"/>
            </w:pPr>
            <w:r>
              <w:rPr>
                <w:rFonts w:ascii="Aptos" w:hAnsi="Aptos"/>
                <w:b w:val="0"/>
                <w:sz w:val="16"/>
              </w:rPr>
              <w:t>No</w:t>
            </w:r>
          </w:p>
        </w:tc>
        <w:tc>
          <w:tcPr>
            <w:tcW w:type="dxa" w:w="5616"/>
            <w:shd w:fill="F4F6F8"/>
          </w:tcPr>
          <w:p>
            <w:pPr>
              <w:spacing w:before="0" w:after="0" w:line="252" w:lineRule="auto"/>
            </w:pPr>
            <w:r>
              <w:rPr>
                <w:rFonts w:ascii="Aptos" w:hAnsi="Aptos"/>
                <w:b w:val="0"/>
                <w:sz w:val="16"/>
              </w:rPr>
              <w:t>Debe poder ser inyectable u omitirse; no condiciona el arranque funcional.</w:t>
            </w:r>
          </w:p>
        </w:tc>
      </w:tr>
      <w:tr>
        <w:tc>
          <w:tcPr>
            <w:tcW w:type="dxa" w:w="2592"/>
            <w:shd w:fill="FAFBFC"/>
          </w:tcPr>
          <w:p>
            <w:pPr>
              <w:spacing w:before="0" w:after="0" w:line="252" w:lineRule="auto"/>
            </w:pPr>
            <w:r>
              <w:rPr>
                <w:rFonts w:ascii="Aptos" w:hAnsi="Aptos"/>
                <w:b/>
                <w:sz w:val="16"/>
              </w:rPr>
              <w:t>Body</w:t>
            </w:r>
          </w:p>
        </w:tc>
        <w:tc>
          <w:tcPr>
            <w:tcW w:type="dxa" w:w="2304"/>
            <w:shd w:fill="FAFBFC"/>
          </w:tcPr>
          <w:p>
            <w:pPr>
              <w:spacing w:before="0" w:after="0" w:line="252" w:lineRule="auto"/>
            </w:pPr>
            <w:r>
              <w:rPr>
                <w:rFonts w:ascii="Aptos" w:hAnsi="Aptos"/>
                <w:b w:val="0"/>
                <w:sz w:val="16"/>
              </w:rPr>
              <w:t>No hay geometría común</w:t>
            </w:r>
          </w:p>
        </w:tc>
        <w:tc>
          <w:tcPr>
            <w:tcW w:type="dxa" w:w="5616"/>
            <w:shd w:fill="FAFBFC"/>
          </w:tcPr>
          <w:p>
            <w:pPr>
              <w:spacing w:before="0" w:after="0" w:line="252" w:lineRule="auto"/>
            </w:pPr>
            <w:r>
              <w:rPr>
                <w:rFonts w:ascii="Aptos" w:hAnsi="Aptos"/>
                <w:b w:val="0"/>
                <w:sz w:val="16"/>
              </w:rPr>
              <w:t>La aplicación define completamente su composición y display.</w:t>
            </w:r>
          </w:p>
        </w:tc>
      </w:tr>
    </w:tbl>
    <w:tbl>
      <w:tblPr>
        <w:tblW w:type="auto" w:w="0"/>
        <w:tblLook w:firstColumn="1" w:firstRow="1" w:lastColumn="0" w:lastRow="0" w:noHBand="0" w:noVBand="1" w:val="04A0"/>
      </w:tblPr>
      <w:tblGrid>
        <w:gridCol w:w="10166"/>
      </w:tblGrid>
      <w:tr>
        <w:tc>
          <w:tcPr>
            <w:tcW w:type="dxa" w:w="10166"/>
            <w:shd w:fill="FFF7E6"/>
            <w:tcBorders>
              <w:top w:val="nil"/>
              <w:left w:val="single" w:sz="18" w:color="4C78A8"/>
              <w:bottom w:val="nil"/>
              <w:right w:val="nil"/>
            </w:tcBorders>
          </w:tcPr>
          <w:p>
            <w:pPr>
              <w:spacing w:before="40" w:after="40" w:line="240" w:lineRule="auto"/>
            </w:pPr>
            <w:r>
              <w:rPr>
                <w:rFonts w:ascii="Aptos" w:hAnsi="Aptos"/>
                <w:b/>
                <w:color w:val="2D3741"/>
              </w:rPr>
              <w:t xml:space="preserve">Criterio de arranque  </w:t>
            </w:r>
            <w:r>
              <w:rPr>
                <w:rFonts w:ascii="Aptos" w:hAnsi="Aptos"/>
                <w:color w:val="2D3741"/>
              </w:rPr>
              <w:t>Una aplicación válida puede simplemente levantar y renderizar su vista sin loader, sin Alarm Management, sin Alarm Status e incluso sin Header si su composición así lo decide. La estética de arranque no es un requisito del contrato runtime.</w:t>
            </w:r>
          </w:p>
        </w:tc>
      </w:tr>
    </w:tbl>
    <w:p>
      <w:pPr>
        <w:widowControl/>
        <w:spacing w:after="0"/>
      </w:pPr>
    </w:p>
    <w:p>
      <w:pPr>
        <w:pStyle w:val="Heading1"/>
        <w:keepNext w:val="0"/>
        <w:widowControl/>
        <w:spacing w:before="0" w:after="120" w:line="252" w:lineRule="auto"/>
      </w:pPr>
      <w:r>
        <w:rPr>
          <w:rFonts w:ascii="Aptos" w:hAnsi="Aptos"/>
        </w:rPr>
        <w:t>8. Prueba mental de desacoplamiento</w:t>
      </w:r>
    </w:p>
    <w:tbl>
      <w:tblPr>
        <w:tblW w:type="auto" w:w="0"/>
        <w:tblLayout w:type="fixed"/>
        <w:tblLook w:firstColumn="1" w:firstRow="1" w:lastColumn="0" w:lastRow="0" w:noHBand="0" w:noVBand="1" w:val="04A0"/>
      </w:tblPr>
      <w:tblGrid>
        <w:gridCol w:w="10166"/>
      </w:tblGrid>
      <w:tr>
        <w:tc>
          <w:tcPr>
            <w:tcW w:type="dxa" w:w="10166"/>
            <w:shd w:fill="F4F6F8"/>
            <w:tcBorders>
              <w:top w:val="single" w:sz="4" w:color="D0D7DE"/>
              <w:left w:val="single" w:sz="4" w:color="D0D7DE"/>
              <w:bottom w:val="single" w:sz="4" w:color="D0D7DE"/>
              <w:right w:val="single" w:sz="4" w:color="D0D7DE"/>
            </w:tcBorders>
          </w:tcPr>
          <w:p>
            <w:pPr>
              <w:spacing w:before="80" w:after="80"/>
            </w:pPr>
            <w:r>
              <w:rPr>
                <w:rFonts w:ascii="DejaVu Sans Mono" w:hAnsi="DejaVu Sans Mono"/>
                <w:color w:val="2D3741"/>
                <w:sz w:val="16"/>
              </w:rPr>
              <w:t>ADA Integrated Operations</w:t>
            </w:r>
            <w:r>
              <w:br/>
            </w:r>
            <w:r>
              <w:rPr>
                <w:rFonts w:ascii="DejaVu Sans Mono" w:hAnsi="DejaVu Sans Mono"/>
                <w:color w:val="2D3741"/>
                <w:sz w:val="16"/>
              </w:rPr>
              <w:t>├── Header ADA</w:t>
            </w:r>
            <w:r>
              <w:br/>
            </w:r>
            <w:r>
              <w:rPr>
                <w:rFonts w:ascii="DejaVu Sans Mono" w:hAnsi="DejaVu Sans Mono"/>
                <w:color w:val="2D3741"/>
                <w:sz w:val="16"/>
              </w:rPr>
              <w:t>├── Global Indicators</w:t>
            </w:r>
            <w:r>
              <w:br/>
            </w:r>
            <w:r>
              <w:rPr>
                <w:rFonts w:ascii="DejaVu Sans Mono" w:hAnsi="DejaVu Sans Mono"/>
                <w:color w:val="2D3741"/>
                <w:sz w:val="16"/>
              </w:rPr>
              <w:t>├── Alarm Management / Alarm Status</w:t>
            </w:r>
            <w:r>
              <w:br/>
            </w:r>
            <w:r>
              <w:rPr>
                <w:rFonts w:ascii="DejaVu Sans Mono" w:hAnsi="DejaVu Sans Mono"/>
                <w:color w:val="2D3741"/>
                <w:sz w:val="16"/>
              </w:rPr>
              <w:t>├── Time Status</w:t>
            </w:r>
            <w:r>
              <w:br/>
            </w:r>
            <w:r>
              <w:rPr>
                <w:rFonts w:ascii="DejaVu Sans Mono" w:hAnsi="DejaVu Sans Mono"/>
                <w:color w:val="2D3741"/>
                <w:sz w:val="16"/>
              </w:rPr>
              <w:t>├── Alarm Surface</w:t>
            </w:r>
            <w:r>
              <w:br/>
            </w:r>
            <w:r>
              <w:rPr>
                <w:rFonts w:ascii="DejaVu Sans Mono" w:hAnsi="DejaVu Sans Mono"/>
                <w:color w:val="2D3741"/>
                <w:sz w:val="16"/>
              </w:rPr>
              <w:t>└── Body IO</w:t>
            </w:r>
            <w:r>
              <w:br/>
            </w:r>
            <w:r>
              <w:rPr>
                <w:rFonts w:ascii="DejaVu Sans Mono" w:hAnsi="DejaVu Sans Mono"/>
                <w:color w:val="2D3741"/>
                <w:sz w:val="16"/>
              </w:rPr>
            </w:r>
            <w:r>
              <w:br/>
            </w:r>
            <w:r>
              <w:rPr>
                <w:rFonts w:ascii="DejaVu Sans Mono" w:hAnsi="DejaVu Sans Mono"/>
                <w:color w:val="2D3741"/>
                <w:sz w:val="16"/>
              </w:rPr>
              <w:t>ADA Process</w:t>
            </w:r>
            <w:r>
              <w:br/>
            </w:r>
            <w:r>
              <w:rPr>
                <w:rFonts w:ascii="DejaVu Sans Mono" w:hAnsi="DejaVu Sans Mono"/>
                <w:color w:val="2D3741"/>
                <w:sz w:val="16"/>
              </w:rPr>
              <w:t>├── piezas compartidas que decida reutilizar</w:t>
            </w:r>
            <w:r>
              <w:br/>
            </w:r>
            <w:r>
              <w:rPr>
                <w:rFonts w:ascii="DejaVu Sans Mono" w:hAnsi="DejaVu Sans Mono"/>
                <w:color w:val="2D3741"/>
                <w:sz w:val="16"/>
              </w:rPr>
              <w:t>└── Body Process</w:t>
            </w:r>
            <w:r>
              <w:br/>
            </w:r>
            <w:r>
              <w:rPr>
                <w:rFonts w:ascii="DejaVu Sans Mono" w:hAnsi="DejaVu Sans Mono"/>
                <w:color w:val="2D3741"/>
                <w:sz w:val="16"/>
              </w:rPr>
            </w:r>
            <w:r>
              <w:br/>
            </w:r>
            <w:r>
              <w:rPr>
                <w:rFonts w:ascii="DejaVu Sans Mono" w:hAnsi="DejaVu Sans Mono"/>
                <w:color w:val="2D3741"/>
                <w:sz w:val="16"/>
              </w:rPr>
              <w:t>TDA / otra herramienta</w:t>
            </w:r>
            <w:r>
              <w:br/>
            </w:r>
            <w:r>
              <w:rPr>
                <w:rFonts w:ascii="DejaVu Sans Mono" w:hAnsi="DejaVu Sans Mono"/>
                <w:color w:val="2D3741"/>
                <w:sz w:val="16"/>
              </w:rPr>
              <w:t>├── Header propio</w:t>
            </w:r>
            <w:r>
              <w:br/>
            </w:r>
            <w:r>
              <w:rPr>
                <w:rFonts w:ascii="DejaVu Sans Mono" w:hAnsi="DejaVu Sans Mono"/>
                <w:color w:val="2D3741"/>
                <w:sz w:val="16"/>
              </w:rPr>
              <w:t>└── Body propio</w:t>
            </w:r>
            <w:r>
              <w:br/>
            </w:r>
            <w:r>
              <w:rPr>
                <w:rFonts w:ascii="DejaVu Sans Mono" w:hAnsi="DejaVu Sans Mono"/>
                <w:color w:val="2D3741"/>
                <w:sz w:val="16"/>
              </w:rPr>
              <w:t xml:space="preserve">   (sin alarmas si no las requiere)</w:t>
            </w:r>
            <w:r>
              <w:br/>
            </w:r>
            <w:r>
              <w:rPr>
                <w:rFonts w:ascii="DejaVu Sans Mono" w:hAnsi="DejaVu Sans Mono"/>
                <w:color w:val="2D3741"/>
                <w:sz w:val="16"/>
              </w:rPr>
            </w:r>
            <w:r>
              <w:br/>
            </w:r>
            <w:r>
              <w:rPr>
                <w:rFonts w:ascii="DejaVu Sans Mono" w:hAnsi="DejaVu Sans Mono"/>
                <w:color w:val="2D3741"/>
                <w:sz w:val="16"/>
              </w:rPr>
              <w:t>Aplicación mínima</w:t>
            </w:r>
            <w:r>
              <w:br/>
            </w:r>
            <w:r>
              <w:rPr>
                <w:rFonts w:ascii="DejaVu Sans Mono" w:hAnsi="DejaVu Sans Mono"/>
                <w:color w:val="2D3741"/>
                <w:sz w:val="16"/>
              </w:rPr>
              <w:t>└── Body</w:t>
            </w:r>
          </w:p>
        </w:tc>
      </w:tr>
    </w:tbl>
    <w:p>
      <w:pPr>
        <w:widowControl/>
        <w:spacing w:after="0"/>
      </w:pPr>
    </w:p>
    <w:p>
      <w:pPr>
        <w:keepNext w:val="0"/>
        <w:widowControl/>
        <w:spacing w:before="0" w:after="120" w:line="252" w:lineRule="auto"/>
      </w:pPr>
      <w:r>
        <w:rPr>
          <w:rFonts w:ascii="Aptos" w:hAnsi="Aptos"/>
        </w:rPr>
        <w:t>Si todas estas aplicaciones pueden consumir la misma infraestructura de configuración, Stores, Collectors, Delivery y Bindings sin modificarla, la frontera se considera correctamente desacoplada.</w:t>
      </w:r>
    </w:p>
    <w:p>
      <w:pPr>
        <w:pStyle w:val="Heading1"/>
        <w:keepNext w:val="0"/>
        <w:widowControl/>
        <w:spacing w:before="0" w:after="120" w:line="252" w:lineRule="auto"/>
      </w:pPr>
      <w:r>
        <w:rPr>
          <w:rFonts w:ascii="Aptos" w:hAnsi="Aptos"/>
        </w:rPr>
        <w:t>9. Materialización de IDs y datos en la aplicación</w:t>
      </w:r>
    </w:p>
    <w:tbl>
      <w:tblPr>
        <w:tblW w:type="auto" w:w="0"/>
        <w:tblLayout w:type="fixed"/>
        <w:tblLook w:firstColumn="1" w:firstRow="1" w:lastColumn="0" w:lastRow="0" w:noHBand="0" w:noVBand="1" w:val="04A0"/>
      </w:tblPr>
      <w:tblGrid>
        <w:gridCol w:w="10166"/>
      </w:tblGrid>
      <w:tr>
        <w:tc>
          <w:tcPr>
            <w:tcW w:type="dxa" w:w="10166"/>
            <w:shd w:fill="F4F6F8"/>
            <w:tcBorders>
              <w:top w:val="single" w:sz="4" w:color="D0D7DE"/>
              <w:left w:val="single" w:sz="4" w:color="D0D7DE"/>
              <w:bottom w:val="single" w:sz="4" w:color="D0D7DE"/>
              <w:right w:val="single" w:sz="4" w:color="D0D7DE"/>
            </w:tcBorders>
          </w:tcPr>
          <w:p>
            <w:pPr>
              <w:spacing w:before="80" w:after="80"/>
            </w:pPr>
            <w:r>
              <w:rPr>
                <w:rFonts w:ascii="DejaVu Sans Mono" w:hAnsi="DejaVu Sans Mono"/>
                <w:color w:val="2D3741"/>
                <w:sz w:val="16"/>
              </w:rPr>
              <w:t>Runtime identity</w:t>
            </w:r>
            <w:r>
              <w:br/>
            </w:r>
            <w:r>
              <w:rPr>
                <w:rFonts w:ascii="DejaVu Sans Mono" w:hAnsi="DejaVu Sans Mono"/>
                <w:color w:val="2D3741"/>
                <w:sz w:val="16"/>
              </w:rPr>
              <w:t xml:space="preserve">  tool_key / component_key / subcomponent_key / kpi_key</w:t>
            </w:r>
            <w:r>
              <w:br/>
            </w:r>
            <w:r>
              <w:rPr>
                <w:rFonts w:ascii="DejaVu Sans Mono" w:hAnsi="DejaVu Sans Mono"/>
                <w:color w:val="2D3741"/>
                <w:sz w:val="16"/>
              </w:rPr>
              <w:t xml:space="preserve">                      ↓</w:t>
            </w:r>
            <w:r>
              <w:br/>
            </w:r>
            <w:r>
              <w:rPr>
                <w:rFonts w:ascii="DejaVu Sans Mono" w:hAnsi="DejaVu Sans Mono"/>
                <w:color w:val="2D3741"/>
                <w:sz w:val="16"/>
              </w:rPr>
              <w:t>OperationalRenderBinding</w:t>
            </w:r>
            <w:r>
              <w:br/>
            </w:r>
            <w:r>
              <w:rPr>
                <w:rFonts w:ascii="DejaVu Sans Mono" w:hAnsi="DejaVu Sans Mono"/>
                <w:color w:val="2D3741"/>
                <w:sz w:val="16"/>
              </w:rPr>
              <w:t xml:space="preserve">                      ↓</w:t>
            </w:r>
            <w:r>
              <w:br/>
            </w:r>
            <w:r>
              <w:rPr>
                <w:rFonts w:ascii="DejaVu Sans Mono" w:hAnsi="DejaVu Sans Mono"/>
                <w:color w:val="2D3741"/>
                <w:sz w:val="16"/>
              </w:rPr>
              <w:t>Application Surface Mapping</w:t>
            </w:r>
            <w:r>
              <w:br/>
            </w:r>
            <w:r>
              <w:rPr>
                <w:rFonts w:ascii="DejaVu Sans Mono" w:hAnsi="DejaVu Sans Mono"/>
                <w:color w:val="2D3741"/>
                <w:sz w:val="16"/>
              </w:rPr>
              <w:t xml:space="preserve">                      ↓</w:t>
            </w:r>
            <w:r>
              <w:br/>
            </w:r>
            <w:r>
              <w:rPr>
                <w:rFonts w:ascii="DejaVu Sans Mono" w:hAnsi="DejaVu Sans Mono"/>
                <w:color w:val="2D3741"/>
                <w:sz w:val="16"/>
              </w:rPr>
              <w:t>IDs propios + renderers + slots + callbacks</w:t>
            </w:r>
            <w:r>
              <w:br/>
            </w:r>
            <w:r>
              <w:rPr>
                <w:rFonts w:ascii="DejaVu Sans Mono" w:hAnsi="DejaVu Sans Mono"/>
                <w:color w:val="2D3741"/>
                <w:sz w:val="16"/>
              </w:rPr>
              <w:t xml:space="preserve">                      ↓</w:t>
            </w:r>
            <w:r>
              <w:br/>
            </w:r>
            <w:r>
              <w:rPr>
                <w:rFonts w:ascii="DejaVu Sans Mono" w:hAnsi="DejaVu Sans Mono"/>
                <w:color w:val="2D3741"/>
                <w:sz w:val="16"/>
              </w:rPr>
              <w:t>Geometría y display final</w:t>
            </w:r>
          </w:p>
        </w:tc>
      </w:tr>
    </w:tbl>
    <w:p>
      <w:pPr>
        <w:widowControl/>
        <w:spacing w:after="0"/>
      </w:pPr>
    </w:p>
    <w:p>
      <w:pPr>
        <w:keepNext w:val="0"/>
        <w:widowControl/>
        <w:spacing w:before="0" w:after="120" w:line="252" w:lineRule="auto"/>
      </w:pPr>
      <w:r>
        <w:rPr>
          <w:rFonts w:ascii="Aptos" w:hAnsi="Aptos"/>
        </w:rPr>
        <w:t>La aplicación conoce el orden y estructura resueltos y puede crear sus IDs de forma determinística. Esto le permite consumir la data modularizada de cada Store sin acoplar la configuración a nombres DOM, clases CSS o decisiones específicas de Dash.</w:t>
      </w:r>
    </w:p>
    <w:p>
      <w:pPr>
        <w:pStyle w:val="Heading1"/>
        <w:keepNext w:val="0"/>
        <w:widowControl/>
        <w:spacing w:before="0" w:after="120" w:line="252" w:lineRule="auto"/>
      </w:pPr>
      <w:r>
        <w:rPr>
          <w:rFonts w:ascii="Aptos" w:hAnsi="Aptos"/>
        </w:rPr>
        <w:t>10. Decisiones congeladas en este checkpoint</w:t>
      </w:r>
    </w:p>
    <w:p>
      <w:pPr>
        <w:pStyle w:val="ListBullet"/>
        <w:widowControl/>
        <w:spacing w:before="0" w:after="60" w:line="252" w:lineRule="auto"/>
      </w:pPr>
      <w:r>
        <w:rPr>
          <w:rFonts w:ascii="Aptos" w:hAnsi="Aptos"/>
        </w:rPr>
        <w:t>No se construirá un renderer genérico monolítico que decida geometría por ToolKind.</w:t>
      </w:r>
    </w:p>
    <w:p>
      <w:pPr>
        <w:pStyle w:val="ListBullet"/>
        <w:widowControl/>
        <w:spacing w:before="0" w:after="60" w:line="252" w:lineRule="auto"/>
      </w:pPr>
      <w:r>
        <w:rPr>
          <w:rFonts w:ascii="Aptos" w:hAnsi="Aptos"/>
        </w:rPr>
        <w:t>No se agregarán propiedades visuales como grid, width, CSS class, row o column a Tool Configuration para resolver layout.</w:t>
      </w:r>
    </w:p>
    <w:p>
      <w:pPr>
        <w:pStyle w:val="ListBullet"/>
        <w:widowControl/>
        <w:spacing w:before="0" w:after="60" w:line="252" w:lineRule="auto"/>
      </w:pPr>
      <w:r>
        <w:rPr>
          <w:rFonts w:ascii="Aptos" w:hAnsi="Aptos"/>
        </w:rPr>
        <w:t>La geometría de Integrated Operations, Process, Strategic o cualquier otra herramienta pertenece al repositorio/composición particular de esa aplicación.</w:t>
      </w:r>
    </w:p>
    <w:p>
      <w:pPr>
        <w:pStyle w:val="ListBullet"/>
        <w:widowControl/>
        <w:spacing w:before="0" w:after="60" w:line="252" w:lineRule="auto"/>
      </w:pPr>
      <w:r>
        <w:rPr>
          <w:rFonts w:ascii="Aptos" w:hAnsi="Aptos"/>
        </w:rPr>
        <w:t>El Collector no consulta una UI ni crea estructura; hidrata Stores previamente materializados desde la configuración.</w:t>
      </w:r>
    </w:p>
    <w:p>
      <w:pPr>
        <w:pStyle w:val="ListBullet"/>
        <w:widowControl/>
        <w:spacing w:before="0" w:after="60" w:line="252" w:lineRule="auto"/>
      </w:pPr>
      <w:r>
        <w:rPr>
          <w:rFonts w:ascii="Aptos" w:hAnsi="Aptos"/>
        </w:rPr>
        <w:t>El Body no consulta directamente al Collector; consume Stores/Bindings ya resueltos.</w:t>
      </w:r>
    </w:p>
    <w:p>
      <w:pPr>
        <w:pStyle w:val="ListBullet"/>
        <w:widowControl/>
        <w:spacing w:before="0" w:after="60" w:line="252" w:lineRule="auto"/>
      </w:pPr>
      <w:r>
        <w:rPr>
          <w:rFonts w:ascii="Aptos" w:hAnsi="Aptos"/>
        </w:rPr>
        <w:t>Alarm Management y Alarm Status son consumidores inyectables, no requisitos de la capacidad de alarmas.</w:t>
      </w:r>
    </w:p>
    <w:p>
      <w:pPr>
        <w:pStyle w:val="ListBullet"/>
        <w:widowControl/>
        <w:spacing w:before="0" w:after="60" w:line="252" w:lineRule="auto"/>
      </w:pPr>
      <w:r>
        <w:rPr>
          <w:rFonts w:ascii="Aptos" w:hAnsi="Aptos"/>
        </w:rPr>
        <w:t>Loader, Header, Global Indicators, Time Status y otras piezas visuales son opt-in según el contrato de cada aplicación.</w:t>
      </w:r>
    </w:p>
    <w:p>
      <w:pPr>
        <w:pStyle w:val="ListBullet"/>
        <w:widowControl/>
        <w:spacing w:before="0" w:after="60" w:line="252" w:lineRule="auto"/>
      </w:pPr>
      <w:r>
        <w:rPr>
          <w:rFonts w:ascii="Aptos" w:hAnsi="Aptos"/>
        </w:rPr>
        <w:t>No se añadirá una abstracción “Application Runtime” sólo para enumerar slots si no aporta una necesidad concreta.</w:t>
      </w:r>
    </w:p>
    <w:p>
      <w:pPr>
        <w:pStyle w:val="ListBullet"/>
        <w:widowControl/>
        <w:spacing w:before="0" w:after="60" w:line="252" w:lineRule="auto"/>
      </w:pPr>
      <w:r>
        <w:rPr>
          <w:rFonts w:ascii="Aptos" w:hAnsi="Aptos"/>
        </w:rPr>
        <w:t>Strategic podrá crecer con su propia composición cuando exista un diseño real, sin obligar a ampliar una composición genérica fija.</w:t>
      </w:r>
    </w:p>
    <w:p>
      <w:pPr>
        <w:pStyle w:val="Heading1"/>
        <w:keepNext w:val="0"/>
        <w:widowControl/>
        <w:spacing w:before="0" w:after="120" w:line="252" w:lineRule="auto"/>
      </w:pPr>
      <w:r>
        <w:rPr>
          <w:rFonts w:ascii="Aptos" w:hAnsi="Aptos"/>
        </w:rPr>
        <w:t>11. Orden de continuidad acordado</w:t>
      </w:r>
    </w:p>
    <w:p>
      <w:pPr>
        <w:keepNext w:val="0"/>
        <w:widowControl/>
        <w:spacing w:before="0" w:after="100" w:line="252" w:lineRule="auto"/>
      </w:pPr>
      <w:r>
        <w:rPr>
          <w:rFonts w:ascii="Aptos" w:hAnsi="Aptos"/>
        </w:rPr>
        <w:t>El trabajo inmediato no debe abrir todavía el Body de ADA. La prioridad es completar la infraestructura y cerrar las superficies de configuración necesarias para que las aplicaciones puedan materializarse sobre contratos estables.</w:t>
      </w:r>
    </w:p>
    <w:p>
      <w:pPr>
        <w:widowControl/>
        <w:spacing w:before="0" w:after="40" w:line="252" w:lineRule="auto"/>
      </w:pPr>
      <w:r>
        <w:rPr>
          <w:rFonts w:ascii="Aptos" w:hAnsi="Aptos"/>
          <w:b/>
          <w:color w:val="1F2937"/>
          <w:sz w:val="19"/>
        </w:rPr>
        <w:t>1. Cerrar el bloque Collector</w:t>
      </w:r>
    </w:p>
    <w:p>
      <w:pPr>
        <w:widowControl/>
        <w:spacing w:before="0" w:after="120" w:line="252" w:lineRule="auto"/>
        <w:ind w:left="259"/>
      </w:pPr>
      <w:r>
        <w:rPr>
          <w:rFonts w:ascii="Aptos" w:hAnsi="Aptos"/>
          <w:sz w:val="18"/>
        </w:rPr>
        <w:t>El contrato CL-003E.4 ya está GREEN. Se cierra únicamente la integración/productización restante del bloque Collector/Stores/Binding que aún esté pendiente, sin reabrir su semántica ni introducir composición visual.</w:t>
      </w:r>
    </w:p>
    <w:p>
      <w:pPr>
        <w:widowControl/>
        <w:spacing w:before="0" w:after="40" w:line="252" w:lineRule="auto"/>
      </w:pPr>
      <w:r>
        <w:rPr>
          <w:rFonts w:ascii="Aptos" w:hAnsi="Aptos"/>
          <w:b/>
          <w:color w:val="1F2937"/>
          <w:sz w:val="19"/>
        </w:rPr>
        <w:t>2. Volver a UI de Configuración</w:t>
      </w:r>
    </w:p>
    <w:p>
      <w:pPr>
        <w:widowControl/>
        <w:spacing w:before="0" w:after="120" w:line="252" w:lineRule="auto"/>
        <w:ind w:left="259"/>
      </w:pPr>
      <w:r>
        <w:rPr>
          <w:rFonts w:ascii="Aptos" w:hAnsi="Aptos"/>
          <w:sz w:val="18"/>
        </w:rPr>
        <w:t>Completar las interfaces y capacidades de configuración pendientes: Tool Configuration, Tool Structure, participación operacional y cualquier editor/flujo todavía faltante para administrar la estructura que luego consume el runtime.</w:t>
      </w:r>
    </w:p>
    <w:p>
      <w:pPr>
        <w:widowControl/>
        <w:spacing w:before="0" w:after="40" w:line="252" w:lineRule="auto"/>
      </w:pPr>
      <w:r>
        <w:rPr>
          <w:rFonts w:ascii="Aptos" w:hAnsi="Aptos"/>
          <w:b/>
          <w:color w:val="1F2937"/>
          <w:sz w:val="19"/>
        </w:rPr>
        <w:t>3. Revisar capacidades auxiliares</w:t>
      </w:r>
    </w:p>
    <w:p>
      <w:pPr>
        <w:widowControl/>
        <w:spacing w:before="0" w:after="120" w:line="252" w:lineRule="auto"/>
        <w:ind w:left="259"/>
      </w:pPr>
      <w:r>
        <w:rPr>
          <w:rFonts w:ascii="Aptos" w:hAnsi="Aptos"/>
          <w:sz w:val="18"/>
        </w:rPr>
        <w:t>Con configuración estable, auditar Alarmas y otras capabilities para confirmar qué parte es runtime reutilizable y qué parte es sólo presentación inyectable.</w:t>
      </w:r>
    </w:p>
    <w:p>
      <w:pPr>
        <w:widowControl/>
        <w:spacing w:before="0" w:after="40" w:line="252" w:lineRule="auto"/>
      </w:pPr>
      <w:r>
        <w:rPr>
          <w:rFonts w:ascii="Aptos" w:hAnsi="Aptos"/>
          <w:b/>
          <w:color w:val="1F2937"/>
          <w:sz w:val="19"/>
        </w:rPr>
        <w:t>4. Loader ADA, después</w:t>
      </w:r>
    </w:p>
    <w:p>
      <w:pPr>
        <w:widowControl/>
        <w:spacing w:before="0" w:after="120" w:line="252" w:lineRule="auto"/>
        <w:ind w:left="259"/>
      </w:pPr>
      <w:r>
        <w:rPr>
          <w:rFonts w:ascii="Aptos" w:hAnsi="Aptos"/>
          <w:sz w:val="18"/>
        </w:rPr>
        <w:t>El loader no es prioridad funcional. Cuando se retome debe quedar inyectable/opcional. La aplicación debe funcionar aunque simplemente renderice su vista al estar disponible.</w:t>
      </w:r>
    </w:p>
    <w:p>
      <w:pPr>
        <w:widowControl/>
        <w:spacing w:before="0" w:after="40" w:line="252" w:lineRule="auto"/>
      </w:pPr>
      <w:r>
        <w:rPr>
          <w:rFonts w:ascii="Aptos" w:hAnsi="Aptos"/>
          <w:b/>
          <w:color w:val="1F2937"/>
          <w:sz w:val="19"/>
        </w:rPr>
        <w:t>5. Aplicaciones particulares</w:t>
      </w:r>
    </w:p>
    <w:p>
      <w:pPr>
        <w:widowControl/>
        <w:spacing w:before="0" w:after="120" w:line="252" w:lineRule="auto"/>
        <w:ind w:left="259"/>
      </w:pPr>
      <w:r>
        <w:rPr>
          <w:rFonts w:ascii="Aptos" w:hAnsi="Aptos"/>
          <w:sz w:val="18"/>
        </w:rPr>
        <w:t>Recién después materializar repos/composiciones aisladas para ADA Integrated Operations, ADA Process, Strategic u otras herramientas, consumiendo la base ya estabilizada.</w:t>
      </w:r>
    </w:p>
    <w:p>
      <w:pPr>
        <w:pStyle w:val="Heading1"/>
        <w:keepNext w:val="0"/>
        <w:widowControl/>
        <w:spacing w:before="0" w:after="120" w:line="252" w:lineRule="auto"/>
      </w:pPr>
      <w:r>
        <w:rPr>
          <w:rFonts w:ascii="Aptos" w:hAnsi="Aptos"/>
        </w:rPr>
        <w:t>12. Gate de arquitectura para los próximos incrementos</w:t>
      </w:r>
    </w:p>
    <w:p>
      <w:pPr>
        <w:keepNext w:val="0"/>
        <w:widowControl/>
        <w:spacing w:before="0" w:after="120" w:line="252" w:lineRule="auto"/>
      </w:pPr>
      <w:r>
        <w:rPr>
          <w:rFonts w:ascii="Aptos" w:hAnsi="Aptos"/>
        </w:rPr>
        <w:t>Antes de aprobar una nueva pieza genérica, se debe poder responder afirmativamente a estas preguntas:</w:t>
      </w:r>
    </w:p>
    <w:p>
      <w:pPr>
        <w:pStyle w:val="ListBullet"/>
        <w:widowControl/>
        <w:spacing w:before="0" w:after="60" w:line="252" w:lineRule="auto"/>
      </w:pPr>
      <w:r>
        <w:rPr>
          <w:rFonts w:ascii="Aptos" w:hAnsi="Aptos"/>
        </w:rPr>
        <w:t>¿Puede una aplicación no usar esta pieza y seguir siendo válida?</w:t>
      </w:r>
    </w:p>
    <w:p>
      <w:pPr>
        <w:pStyle w:val="ListBullet"/>
        <w:widowControl/>
        <w:spacing w:before="0" w:after="60" w:line="252" w:lineRule="auto"/>
      </w:pPr>
      <w:r>
        <w:rPr>
          <w:rFonts w:ascii="Aptos" w:hAnsi="Aptos"/>
        </w:rPr>
        <w:t>¿La pieza representa un contrato/runtime reusable y no una decisión visual de ADA?</w:t>
      </w:r>
    </w:p>
    <w:p>
      <w:pPr>
        <w:pStyle w:val="ListBullet"/>
        <w:widowControl/>
        <w:spacing w:before="0" w:after="60" w:line="252" w:lineRule="auto"/>
      </w:pPr>
      <w:r>
        <w:rPr>
          <w:rFonts w:ascii="Aptos" w:hAnsi="Aptos"/>
        </w:rPr>
        <w:t>¿La configuración sigue libre de CSS, IDs DOM y geometría concreta?</w:t>
      </w:r>
    </w:p>
    <w:p>
      <w:pPr>
        <w:pStyle w:val="ListBullet"/>
        <w:widowControl/>
        <w:spacing w:before="0" w:after="60" w:line="252" w:lineRule="auto"/>
      </w:pPr>
      <w:r>
        <w:rPr>
          <w:rFonts w:ascii="Aptos" w:hAnsi="Aptos"/>
        </w:rPr>
        <w:t>¿Los datos pueden estar vacíos sin borrar la estructura configurada?</w:t>
      </w:r>
    </w:p>
    <w:p>
      <w:pPr>
        <w:pStyle w:val="ListBullet"/>
        <w:widowControl/>
        <w:spacing w:before="0" w:after="60" w:line="252" w:lineRule="auto"/>
      </w:pPr>
      <w:r>
        <w:rPr>
          <w:rFonts w:ascii="Aptos" w:hAnsi="Aptos"/>
        </w:rPr>
        <w:t>¿El Collector/Delivery entrega estado sin conocer la composición final?</w:t>
      </w:r>
    </w:p>
    <w:p>
      <w:pPr>
        <w:pStyle w:val="ListBullet"/>
        <w:widowControl/>
        <w:spacing w:before="0" w:after="60" w:line="252" w:lineRule="auto"/>
      </w:pPr>
      <w:r>
        <w:rPr>
          <w:rFonts w:ascii="Aptos" w:hAnsi="Aptos"/>
        </w:rPr>
        <w:t>¿Otra herramienta con un Header y Body completamente distintos podría consumir la misma base?</w:t>
      </w:r>
    </w:p>
    <w:p>
      <w:pPr>
        <w:pStyle w:val="ListBullet"/>
        <w:widowControl/>
        <w:spacing w:before="0" w:after="60" w:line="252" w:lineRule="auto"/>
      </w:pPr>
      <w:r>
        <w:rPr>
          <w:rFonts w:ascii="Aptos" w:hAnsi="Aptos"/>
        </w:rPr>
        <w:t>¿El crecimiento de Strategic u otra futura composición ocurriría fuera del core genérico?</w:t>
      </w:r>
    </w:p>
    <w:tbl>
      <w:tblPr>
        <w:tblW w:type="auto" w:w="0"/>
        <w:tblLook w:firstColumn="1" w:firstRow="1" w:lastColumn="0" w:lastRow="0" w:noHBand="0" w:noVBand="1" w:val="04A0"/>
      </w:tblPr>
      <w:tblGrid>
        <w:gridCol w:w="10166"/>
      </w:tblGrid>
      <w:tr>
        <w:tc>
          <w:tcPr>
            <w:tcW w:type="dxa" w:w="10166"/>
            <w:shd w:fill="FDECEC"/>
            <w:tcBorders>
              <w:top w:val="nil"/>
              <w:left w:val="single" w:sz="18" w:color="4C78A8"/>
              <w:bottom w:val="nil"/>
              <w:right w:val="nil"/>
            </w:tcBorders>
          </w:tcPr>
          <w:p>
            <w:pPr>
              <w:spacing w:before="40" w:after="40" w:line="240" w:lineRule="auto"/>
            </w:pPr>
            <w:r>
              <w:rPr>
                <w:rFonts w:ascii="Aptos" w:hAnsi="Aptos"/>
                <w:b/>
                <w:color w:val="2D3741"/>
              </w:rPr>
              <w:t xml:space="preserve">Criterio de aceptación  </w:t>
            </w:r>
            <w:r>
              <w:rPr>
                <w:rFonts w:ascii="Aptos" w:hAnsi="Aptos"/>
                <w:color w:val="2D3741"/>
              </w:rPr>
              <w:t>Si una propuesta obliga a TDA, una aplicación body-only o una futura Strategic a adoptar la estructura visual de ADA, esa propuesta está cruzando la frontera y debe quedarse en la capa de aplicación.</w:t>
            </w:r>
          </w:p>
        </w:tc>
      </w:tr>
    </w:tbl>
    <w:p>
      <w:pPr>
        <w:widowControl/>
        <w:spacing w:after="0"/>
      </w:pPr>
    </w:p>
    <w:p>
      <w:pPr>
        <w:widowControl/>
      </w:pPr>
      <w:r>
        <w:br w:type="page"/>
      </w:r>
    </w:p>
    <w:p>
      <w:pPr>
        <w:pStyle w:val="Heading1"/>
        <w:keepNext w:val="0"/>
        <w:widowControl/>
        <w:spacing w:before="0" w:after="120" w:line="252" w:lineRule="auto"/>
      </w:pPr>
      <w:r>
        <w:rPr>
          <w:rFonts w:ascii="Aptos" w:hAnsi="Aptos"/>
        </w:rPr>
        <w:t>13. Estado objetivo</w:t>
      </w:r>
    </w:p>
    <w:tbl>
      <w:tblPr>
        <w:tblW w:type="auto" w:w="0"/>
        <w:tblLayout w:type="fixed"/>
        <w:tblLook w:firstColumn="1" w:firstRow="1" w:lastColumn="0" w:lastRow="0" w:noHBand="0" w:noVBand="1" w:val="04A0"/>
      </w:tblPr>
      <w:tblGrid>
        <w:gridCol w:w="10166"/>
      </w:tblGrid>
      <w:tr>
        <w:tc>
          <w:tcPr>
            <w:tcW w:type="dxa" w:w="10166"/>
            <w:shd w:fill="F4F6F8"/>
            <w:tcBorders>
              <w:top w:val="single" w:sz="4" w:color="D0D7DE"/>
              <w:left w:val="single" w:sz="4" w:color="D0D7DE"/>
              <w:bottom w:val="single" w:sz="4" w:color="D0D7DE"/>
              <w:right w:val="single" w:sz="4" w:color="D0D7DE"/>
            </w:tcBorders>
          </w:tcPr>
          <w:p>
            <w:pPr>
              <w:spacing w:before="80" w:after="80"/>
            </w:pPr>
            <w:r>
              <w:rPr>
                <w:rFonts w:ascii="DejaVu Sans Mono" w:hAnsi="DejaVu Sans Mono"/>
                <w:color w:val="2D3741"/>
                <w:sz w:val="16"/>
              </w:rPr>
              <w:t>ATLANTICUS</w:t>
            </w:r>
            <w:r>
              <w:br/>
            </w:r>
            <w:r>
              <w:rPr>
                <w:rFonts w:ascii="DejaVu Sans Mono" w:hAnsi="DejaVu Sans Mono"/>
                <w:color w:val="2D3741"/>
                <w:sz w:val="16"/>
              </w:rPr>
              <w:t>────────────────────────────────────</w:t>
            </w:r>
            <w:r>
              <w:br/>
            </w:r>
            <w:r>
              <w:rPr>
                <w:rFonts w:ascii="DejaVu Sans Mono" w:hAnsi="DejaVu Sans Mono"/>
                <w:color w:val="2D3741"/>
                <w:sz w:val="16"/>
              </w:rPr>
              <w:t>Configuration / Projection</w:t>
            </w:r>
            <w:r>
              <w:br/>
            </w:r>
            <w:r>
              <w:rPr>
                <w:rFonts w:ascii="DejaVu Sans Mono" w:hAnsi="DejaVu Sans Mono"/>
                <w:color w:val="2D3741"/>
                <w:sz w:val="16"/>
              </w:rPr>
              <w:t>Stores</w:t>
            </w:r>
            <w:r>
              <w:br/>
            </w:r>
            <w:r>
              <w:rPr>
                <w:rFonts w:ascii="DejaVu Sans Mono" w:hAnsi="DejaVu Sans Mono"/>
                <w:color w:val="2D3741"/>
                <w:sz w:val="16"/>
              </w:rPr>
              <w:t>Collectors / Delivery</w:t>
            </w:r>
            <w:r>
              <w:br/>
            </w:r>
            <w:r>
              <w:rPr>
                <w:rFonts w:ascii="DejaVu Sans Mono" w:hAnsi="DejaVu Sans Mono"/>
                <w:color w:val="2D3741"/>
                <w:sz w:val="16"/>
              </w:rPr>
              <w:t>Capability Bindings</w:t>
            </w:r>
            <w:r>
              <w:br/>
            </w:r>
            <w:r>
              <w:rPr>
                <w:rFonts w:ascii="DejaVu Sans Mono" w:hAnsi="DejaVu Sans Mono"/>
                <w:color w:val="2D3741"/>
                <w:sz w:val="16"/>
              </w:rPr>
              <w:t>────────────────────────────────────</w:t>
            </w:r>
            <w:r>
              <w:br/>
            </w:r>
            <w:r>
              <w:rPr>
                <w:rFonts w:ascii="DejaVu Sans Mono" w:hAnsi="DejaVu Sans Mono"/>
                <w:color w:val="2D3741"/>
                <w:sz w:val="16"/>
              </w:rPr>
              <w:t xml:space="preserve">        APPLICATION BOUNDARY</w:t>
            </w:r>
            <w:r>
              <w:br/>
            </w:r>
            <w:r>
              <w:rPr>
                <w:rFonts w:ascii="DejaVu Sans Mono" w:hAnsi="DejaVu Sans Mono"/>
                <w:color w:val="2D3741"/>
                <w:sz w:val="16"/>
              </w:rPr>
              <w:t>────────────────────────────────────</w:t>
            </w:r>
            <w:r>
              <w:br/>
            </w:r>
            <w:r>
              <w:rPr>
                <w:rFonts w:ascii="DejaVu Sans Mono" w:hAnsi="DejaVu Sans Mono"/>
                <w:color w:val="2D3741"/>
                <w:sz w:val="16"/>
              </w:rPr>
              <w:t>ADA Integrated Operations</w:t>
            </w:r>
            <w:r>
              <w:br/>
            </w:r>
            <w:r>
              <w:rPr>
                <w:rFonts w:ascii="DejaVu Sans Mono" w:hAnsi="DejaVu Sans Mono"/>
                <w:color w:val="2D3741"/>
                <w:sz w:val="16"/>
              </w:rPr>
              <w:t>ADA Process</w:t>
            </w:r>
            <w:r>
              <w:br/>
            </w:r>
            <w:r>
              <w:rPr>
                <w:rFonts w:ascii="DejaVu Sans Mono" w:hAnsi="DejaVu Sans Mono"/>
                <w:color w:val="2D3741"/>
                <w:sz w:val="16"/>
              </w:rPr>
              <w:t>ADA Strategic</w:t>
            </w:r>
            <w:r>
              <w:br/>
            </w:r>
            <w:r>
              <w:rPr>
                <w:rFonts w:ascii="DejaVu Sans Mono" w:hAnsi="DejaVu Sans Mono"/>
                <w:color w:val="2D3741"/>
                <w:sz w:val="16"/>
              </w:rPr>
              <w:t>TDA</w:t>
            </w:r>
            <w:r>
              <w:br/>
            </w:r>
            <w:r>
              <w:rPr>
                <w:rFonts w:ascii="DejaVu Sans Mono" w:hAnsi="DejaVu Sans Mono"/>
                <w:color w:val="2D3741"/>
                <w:sz w:val="16"/>
              </w:rPr>
              <w:t>Otra aplicación</w:t>
            </w:r>
            <w:r>
              <w:br/>
            </w:r>
            <w:r>
              <w:rPr>
                <w:rFonts w:ascii="DejaVu Sans Mono" w:hAnsi="DejaVu Sans Mono"/>
                <w:color w:val="2D3741"/>
                <w:sz w:val="16"/>
              </w:rPr>
              <w:t>────────────────────────────────────</w:t>
            </w:r>
            <w:r>
              <w:br/>
            </w:r>
            <w:r>
              <w:rPr>
                <w:rFonts w:ascii="DejaVu Sans Mono" w:hAnsi="DejaVu Sans Mono"/>
                <w:color w:val="2D3741"/>
                <w:sz w:val="16"/>
              </w:rPr>
              <w:t>Cada aplicación define libremente:</w:t>
            </w:r>
            <w:r>
              <w:br/>
            </w:r>
            <w:r>
              <w:rPr>
                <w:rFonts w:ascii="DejaVu Sans Mono" w:hAnsi="DejaVu Sans Mono"/>
                <w:color w:val="2D3741"/>
                <w:sz w:val="16"/>
              </w:rPr>
              <w:t>IDs · renderers · callbacks · CSS/JS · geometría · surface</w:t>
            </w:r>
          </w:p>
        </w:tc>
      </w:tr>
    </w:tbl>
    <w:p>
      <w:pPr>
        <w:widowControl/>
        <w:spacing w:after="0"/>
      </w:pPr>
    </w:p>
    <w:p>
      <w:pPr>
        <w:keepNext w:val="0"/>
        <w:widowControl/>
        <w:spacing w:before="0" w:after="120" w:line="252" w:lineRule="auto"/>
      </w:pPr>
      <w:r>
        <w:rPr>
          <w:rFonts w:ascii="Aptos" w:hAnsi="Aptos"/>
        </w:rPr>
        <w:t>Este checkpoint materializa la decisión de mantener Atlanticus como una base modular y reusable. ADA continúa siendo un consumidor principal, pero deja de determinar la forma obligatoria del framework. La siguiente prioridad de ejecución es cerrar el bloque Collector y completar la UI de Configuración antes de volver a aspectos de presentación como el loader.</w:t>
      </w:r>
    </w:p>
    <w:tbl>
      <w:tblPr>
        <w:tblW w:type="auto" w:w="0"/>
        <w:tblLook w:firstColumn="1" w:firstRow="1" w:lastColumn="0" w:lastRow="0" w:noHBand="0" w:noVBand="1" w:val="04A0"/>
      </w:tblPr>
      <w:tblGrid>
        <w:gridCol w:w="10166"/>
      </w:tblGrid>
      <w:tr>
        <w:tc>
          <w:tcPr>
            <w:tcW w:type="dxa" w:w="10166"/>
            <w:shd w:fill="E6F4EA"/>
            <w:tcBorders>
              <w:top w:val="nil"/>
              <w:left w:val="single" w:sz="18" w:color="4C78A8"/>
              <w:bottom w:val="nil"/>
              <w:right w:val="nil"/>
            </w:tcBorders>
          </w:tcPr>
          <w:p>
            <w:pPr>
              <w:spacing w:before="40" w:after="40" w:line="240" w:lineRule="auto"/>
            </w:pPr>
            <w:r>
              <w:rPr>
                <w:rFonts w:ascii="Aptos" w:hAnsi="Aptos"/>
                <w:b/>
                <w:color w:val="2D3741"/>
              </w:rPr>
              <w:t xml:space="preserve">CHECKPOINT  </w:t>
            </w:r>
            <w:r>
              <w:rPr>
                <w:rFonts w:ascii="Aptos" w:hAnsi="Aptos"/>
                <w:color w:val="2D3741"/>
              </w:rPr>
              <w:t>ARQUITECTURA CONSENSUADA. CL-003E.2 / E.3 / E.4 / E.5 GREEN. Próximo foco: cierre de integración Collector → UI de Configuración → capacidades auxiliares → loader opcional → aplicaciones particulares.</w:t>
            </w:r>
          </w:p>
        </w:tc>
      </w:tr>
    </w:tbl>
    <w:p>
      <w:pPr>
        <w:widowControl/>
        <w:spacing w:after="0"/>
      </w:pP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tblLayout w:type="fixed"/>
      <w:tblLook w:firstColumn="1" w:firstRow="1" w:lastColumn="0" w:lastRow="0" w:noHBand="0" w:noVBand="1" w:val="04A0"/>
    </w:tblPr>
    <w:tblGrid>
      <w:gridCol w:w="7776"/>
      <w:gridCol w:w="2160"/>
    </w:tblGrid>
    <w:tr>
      <w:tc>
        <w:tcPr>
          <w:tcW w:type="dxa" w:w="4968"/>
          <w:tcBorders>
            <w:top w:val="single" w:sz="4" w:color="D9DEE3"/>
            <w:left w:val="nil"/>
            <w:bottom w:val="nil"/>
            <w:right w:val="nil"/>
          </w:tcBorders>
        </w:tcPr>
        <w:p>
          <w:r>
            <w:rPr>
              <w:rFonts w:ascii="Aptos" w:hAnsi="Aptos"/>
              <w:color w:val="787D82"/>
              <w:sz w:val="14"/>
            </w:rPr>
            <w:t>Materialización Runtime–Aplicación · 01-09-2026</w:t>
          </w:r>
        </w:p>
      </w:tc>
      <w:tc>
        <w:tcPr>
          <w:tcW w:type="dxa" w:w="4968"/>
          <w:tcBorders>
            <w:top w:val="single" w:sz="4" w:color="D9DEE3"/>
            <w:left w:val="nil"/>
            <w:bottom w:val="nil"/>
            <w:right w:val="nil"/>
          </w:tcBorders>
        </w:tcPr>
        <w:p>
          <w:pPr>
            <w:jc w:val="right"/>
          </w:pPr>
          <w:fldSimple w:instr="PAGE"/>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6E7882"/>
        <w:sz w:val="15"/>
      </w:rPr>
      <w:t>ATLANTICUS · ARCHITECTURE CHECKPOINT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F2937"/>
      <w:sz w:val="3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w:hAnsi="Aptos"/>
      <w:b/>
      <w:bCs/>
      <w:color w:val="2D3741"/>
      <w:sz w:val="23"/>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w:hAnsi="Aptos"/>
      <w:b/>
      <w:bCs/>
      <w:color w:val="3C4650"/>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b/>
      <w:color w:val="1F293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Atlanticus - Materialización Runtime-Aplicación y Plan de Continuidad</dc:title>
  <dc:subject>Checkpoint arquitectónico 2026-09-01</dc:subject>
  <dc:creator>OpenAI</dc:creator>
  <cp:keywords>Atlanticus, ADA, runtime, collector, application boundary, configuration</cp:keywords>
  <dc:description>generated by python-docx</dc:description>
  <cp:lastModifiedBy/>
  <cp:revision>1</cp:revision>
  <dcterms:created xsi:type="dcterms:W3CDTF">2013-12-23T23:15:00Z</dcterms:created>
  <dcterms:modified xsi:type="dcterms:W3CDTF">2013-12-23T23:15:00Z</dcterms:modified>
  <cp:category/>
</cp:coreProperties>
</file>